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9F2F1" w14:textId="77777777" w:rsidR="0057062D" w:rsidRDefault="0057062D">
      <w:pPr>
        <w:spacing w:line="276" w:lineRule="auto"/>
        <w:ind w:right="280"/>
        <w:jc w:val="center"/>
        <w:rPr>
          <w:rFonts w:ascii="Arial" w:eastAsia="Arial" w:hAnsi="Arial" w:cs="Arial"/>
          <w:b/>
          <w:sz w:val="28"/>
          <w:szCs w:val="28"/>
          <w:lang w:val="pt-BR"/>
        </w:rPr>
      </w:pPr>
    </w:p>
    <w:p w14:paraId="6F1ECEF1" w14:textId="77777777" w:rsidR="00A74A4F" w:rsidRDefault="001F5B14">
      <w:pPr>
        <w:spacing w:line="276" w:lineRule="auto"/>
        <w:ind w:right="280"/>
        <w:jc w:val="center"/>
        <w:rPr>
          <w:rFonts w:ascii="Arial" w:eastAsia="Arial" w:hAnsi="Arial" w:cs="Arial"/>
          <w:b/>
          <w:sz w:val="28"/>
          <w:szCs w:val="28"/>
          <w:lang w:val="pt-BR"/>
        </w:rPr>
      </w:pPr>
      <w:r>
        <w:rPr>
          <w:rFonts w:ascii="Arial" w:eastAsia="Arial" w:hAnsi="Arial" w:cs="Arial"/>
          <w:b/>
          <w:sz w:val="28"/>
          <w:szCs w:val="28"/>
          <w:lang w:val="pt-BR"/>
        </w:rPr>
        <w:t>PERENES E ANUAIS: A COMBINAÇÃO DE MANEJO PARA A BUSCA DE ALTA QUALIDADE DE FORRAGENS NO ESTADO DE SANTA CATARINA</w:t>
      </w:r>
    </w:p>
    <w:p w14:paraId="6A09F505" w14:textId="77777777" w:rsidR="0057062D" w:rsidRPr="0057062D" w:rsidRDefault="0057062D">
      <w:pPr>
        <w:spacing w:line="276" w:lineRule="auto"/>
        <w:ind w:right="280"/>
        <w:jc w:val="center"/>
        <w:rPr>
          <w:rFonts w:ascii="Arial" w:eastAsia="Arial" w:hAnsi="Arial" w:cs="Arial"/>
          <w:color w:val="000000"/>
          <w:sz w:val="22"/>
          <w:szCs w:val="22"/>
          <w:lang w:val="pt-BR"/>
        </w:rPr>
      </w:pPr>
    </w:p>
    <w:p w14:paraId="6CF049B3" w14:textId="77777777" w:rsidR="0057062D" w:rsidRDefault="0057062D" w:rsidP="0057062D">
      <w:pPr>
        <w:pBdr>
          <w:top w:val="nil"/>
          <w:left w:val="nil"/>
          <w:bottom w:val="nil"/>
          <w:right w:val="nil"/>
          <w:between w:val="nil"/>
        </w:pBdr>
        <w:ind w:right="284"/>
        <w:jc w:val="center"/>
        <w:rPr>
          <w:rFonts w:ascii="Arial" w:eastAsia="Arial" w:hAnsi="Arial" w:cs="Arial"/>
          <w:sz w:val="20"/>
          <w:szCs w:val="20"/>
          <w:lang w:val="pt-BR"/>
        </w:rPr>
      </w:pPr>
      <w:r>
        <w:rPr>
          <w:rFonts w:ascii="Arial" w:eastAsia="Arial" w:hAnsi="Arial" w:cs="Arial"/>
          <w:sz w:val="20"/>
          <w:szCs w:val="20"/>
          <w:u w:val="single"/>
          <w:lang w:val="pt-BR"/>
        </w:rPr>
        <w:t>Daniele Cristina da Silva-Kazama</w:t>
      </w:r>
      <w:r w:rsidRPr="00650E4F">
        <w:rPr>
          <w:rFonts w:ascii="Arial" w:eastAsia="Arial" w:hAnsi="Arial" w:cs="Arial"/>
          <w:color w:val="000000"/>
          <w:sz w:val="20"/>
          <w:szCs w:val="20"/>
          <w:vertAlign w:val="superscript"/>
          <w:lang w:val="pt-BR"/>
        </w:rPr>
        <w:t>1</w:t>
      </w:r>
      <w:r w:rsidRPr="00650E4F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, </w:t>
      </w:r>
      <w:r>
        <w:rPr>
          <w:rFonts w:ascii="Arial" w:eastAsia="Arial" w:hAnsi="Arial" w:cs="Arial"/>
          <w:sz w:val="20"/>
          <w:szCs w:val="20"/>
          <w:lang w:val="pt-BR"/>
        </w:rPr>
        <w:t>Renan Buhrer</w:t>
      </w:r>
      <w:r w:rsidRPr="00650E4F">
        <w:rPr>
          <w:rFonts w:ascii="Arial" w:eastAsia="Arial" w:hAnsi="Arial" w:cs="Arial"/>
          <w:color w:val="000000"/>
          <w:sz w:val="20"/>
          <w:szCs w:val="20"/>
          <w:vertAlign w:val="superscript"/>
          <w:lang w:val="pt-BR"/>
        </w:rPr>
        <w:t>1</w:t>
      </w:r>
      <w:r>
        <w:rPr>
          <w:rFonts w:ascii="Arial" w:eastAsia="Arial" w:hAnsi="Arial" w:cs="Arial"/>
          <w:color w:val="000000"/>
          <w:sz w:val="20"/>
          <w:szCs w:val="20"/>
          <w:lang w:val="pt-BR"/>
        </w:rPr>
        <w:t>,</w:t>
      </w:r>
      <w:r>
        <w:rPr>
          <w:rFonts w:ascii="Arial" w:eastAsia="Arial" w:hAnsi="Arial" w:cs="Arial"/>
          <w:color w:val="000000"/>
          <w:sz w:val="20"/>
          <w:szCs w:val="20"/>
          <w:vertAlign w:val="superscript"/>
          <w:lang w:val="pt-BR"/>
        </w:rPr>
        <w:t xml:space="preserve"> </w:t>
      </w:r>
      <w:r>
        <w:rPr>
          <w:rFonts w:ascii="Arial" w:eastAsia="Arial" w:hAnsi="Arial" w:cs="Arial"/>
          <w:sz w:val="20"/>
          <w:szCs w:val="20"/>
          <w:lang w:val="pt-BR"/>
        </w:rPr>
        <w:t>Luis Roberto Braga de Moraes Gagliardi</w:t>
      </w:r>
      <w:r w:rsidRPr="00650E4F">
        <w:rPr>
          <w:rFonts w:ascii="Arial" w:eastAsia="Arial" w:hAnsi="Arial" w:cs="Arial"/>
          <w:color w:val="000000"/>
          <w:sz w:val="20"/>
          <w:szCs w:val="20"/>
          <w:vertAlign w:val="superscript"/>
          <w:lang w:val="pt-BR"/>
        </w:rPr>
        <w:t>1</w:t>
      </w:r>
      <w:r w:rsidRPr="00650E4F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  <w:lang w:val="pt-BR"/>
        </w:rPr>
        <w:t>Cassio Marques de Valois</w:t>
      </w:r>
      <w:r w:rsidRPr="00650E4F">
        <w:rPr>
          <w:rFonts w:ascii="Arial" w:eastAsia="Arial" w:hAnsi="Arial" w:cs="Arial"/>
          <w:sz w:val="20"/>
          <w:szCs w:val="20"/>
          <w:vertAlign w:val="superscript"/>
          <w:lang w:val="pt-BR"/>
        </w:rPr>
        <w:t>2</w:t>
      </w:r>
      <w:r w:rsidRPr="00650E4F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, </w:t>
      </w:r>
      <w:r>
        <w:rPr>
          <w:rFonts w:ascii="Arial" w:eastAsia="Arial" w:hAnsi="Arial" w:cs="Arial"/>
          <w:sz w:val="20"/>
          <w:szCs w:val="20"/>
          <w:lang w:val="pt-BR"/>
        </w:rPr>
        <w:t>Darci Pitton Filho</w:t>
      </w:r>
      <w:r w:rsidRPr="00650E4F">
        <w:rPr>
          <w:rFonts w:ascii="Arial" w:eastAsia="Arial" w:hAnsi="Arial" w:cs="Arial"/>
          <w:sz w:val="20"/>
          <w:szCs w:val="20"/>
          <w:vertAlign w:val="superscript"/>
          <w:lang w:val="pt-BR"/>
        </w:rPr>
        <w:t>2</w:t>
      </w:r>
      <w:r w:rsidRPr="00650E4F">
        <w:rPr>
          <w:rFonts w:ascii="Arial" w:eastAsia="Arial" w:hAnsi="Arial" w:cs="Arial"/>
          <w:sz w:val="20"/>
          <w:szCs w:val="20"/>
          <w:lang w:val="pt-BR"/>
        </w:rPr>
        <w:t>,</w:t>
      </w:r>
      <w:r>
        <w:rPr>
          <w:rFonts w:ascii="Arial" w:eastAsia="Arial" w:hAnsi="Arial" w:cs="Arial"/>
          <w:sz w:val="20"/>
          <w:szCs w:val="20"/>
          <w:lang w:val="pt-BR"/>
        </w:rPr>
        <w:t xml:space="preserve"> Fabiana Schmidt</w:t>
      </w:r>
      <w:r w:rsidRPr="00650E4F">
        <w:rPr>
          <w:rFonts w:ascii="Arial" w:eastAsia="Arial" w:hAnsi="Arial" w:cs="Arial"/>
          <w:sz w:val="20"/>
          <w:szCs w:val="20"/>
          <w:vertAlign w:val="superscript"/>
          <w:lang w:val="pt-BR"/>
        </w:rPr>
        <w:t>2</w:t>
      </w:r>
      <w:r w:rsidRPr="00650E4F">
        <w:rPr>
          <w:rFonts w:ascii="Arial" w:eastAsia="Arial" w:hAnsi="Arial" w:cs="Arial"/>
          <w:sz w:val="20"/>
          <w:szCs w:val="20"/>
          <w:lang w:val="pt-BR"/>
        </w:rPr>
        <w:t>,</w:t>
      </w:r>
      <w:r>
        <w:rPr>
          <w:rFonts w:ascii="Arial" w:eastAsia="Arial" w:hAnsi="Arial" w:cs="Arial"/>
          <w:sz w:val="20"/>
          <w:szCs w:val="20"/>
          <w:lang w:val="pt-BR"/>
        </w:rPr>
        <w:t xml:space="preserve"> Carlos Otavio Mader Fernandes</w:t>
      </w:r>
      <w:r w:rsidRPr="00650E4F">
        <w:rPr>
          <w:rFonts w:ascii="Arial" w:eastAsia="Arial" w:hAnsi="Arial" w:cs="Arial"/>
          <w:sz w:val="20"/>
          <w:szCs w:val="20"/>
          <w:vertAlign w:val="superscript"/>
          <w:lang w:val="pt-BR"/>
        </w:rPr>
        <w:t>2</w:t>
      </w:r>
    </w:p>
    <w:p w14:paraId="594857A1" w14:textId="77777777" w:rsidR="0057062D" w:rsidRPr="00650E4F" w:rsidRDefault="0057062D" w:rsidP="0057062D">
      <w:pPr>
        <w:pBdr>
          <w:top w:val="nil"/>
          <w:left w:val="nil"/>
          <w:bottom w:val="nil"/>
          <w:right w:val="nil"/>
          <w:between w:val="nil"/>
        </w:pBdr>
        <w:ind w:right="284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4756A237" w14:textId="77777777" w:rsidR="0057062D" w:rsidRPr="00650E4F" w:rsidRDefault="0057062D" w:rsidP="0057062D">
      <w:pPr>
        <w:pBdr>
          <w:top w:val="nil"/>
          <w:left w:val="nil"/>
          <w:bottom w:val="nil"/>
          <w:right w:val="nil"/>
          <w:between w:val="nil"/>
        </w:pBdr>
        <w:ind w:right="284"/>
        <w:jc w:val="center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650E4F">
        <w:rPr>
          <w:rFonts w:ascii="Arial" w:eastAsia="Arial" w:hAnsi="Arial" w:cs="Arial"/>
          <w:color w:val="000000"/>
          <w:sz w:val="20"/>
          <w:szCs w:val="20"/>
          <w:vertAlign w:val="superscript"/>
          <w:lang w:val="pt-BR"/>
        </w:rPr>
        <w:t>1</w:t>
      </w:r>
      <w:r w:rsidRPr="00650E4F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 </w:t>
      </w:r>
      <w:r w:rsidRPr="00650E4F">
        <w:rPr>
          <w:rFonts w:ascii="Arial" w:eastAsia="Arial" w:hAnsi="Arial" w:cs="Arial"/>
          <w:sz w:val="20"/>
          <w:szCs w:val="20"/>
          <w:lang w:val="pt-BR"/>
        </w:rPr>
        <w:t>Universidade Federal de Santa Catarina</w:t>
      </w:r>
      <w:r w:rsidRPr="00650E4F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, </w:t>
      </w:r>
      <w:r w:rsidRPr="00650E4F">
        <w:rPr>
          <w:rFonts w:ascii="Arial" w:eastAsia="Arial" w:hAnsi="Arial" w:cs="Arial"/>
          <w:color w:val="000000"/>
          <w:sz w:val="20"/>
          <w:szCs w:val="20"/>
          <w:vertAlign w:val="superscript"/>
          <w:lang w:val="pt-BR"/>
        </w:rPr>
        <w:t>2</w:t>
      </w:r>
      <w:r w:rsidRPr="00650E4F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 </w:t>
      </w:r>
      <w:r w:rsidRPr="00650E4F">
        <w:rPr>
          <w:rFonts w:ascii="Arial" w:eastAsia="Arial" w:hAnsi="Arial" w:cs="Arial"/>
          <w:sz w:val="20"/>
          <w:szCs w:val="20"/>
          <w:lang w:val="pt-BR"/>
        </w:rPr>
        <w:t>Empresa de Pesquisa Agropecuária e Extensão Rural de Santa Catarina</w:t>
      </w:r>
      <w:r w:rsidRPr="00650E4F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, E-mail: </w:t>
      </w:r>
      <w:r>
        <w:rPr>
          <w:rFonts w:ascii="Arial" w:eastAsia="Arial" w:hAnsi="Arial" w:cs="Arial"/>
          <w:color w:val="000000"/>
          <w:sz w:val="20"/>
          <w:szCs w:val="20"/>
          <w:lang w:val="pt-BR"/>
        </w:rPr>
        <w:t>daniele.kazama@ufsc.br</w:t>
      </w:r>
    </w:p>
    <w:p w14:paraId="7322610D" w14:textId="77777777" w:rsidR="00A74A4F" w:rsidRDefault="00A74A4F">
      <w:pPr>
        <w:ind w:right="284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08F2201E" w14:textId="77777777" w:rsidR="00A74A4F" w:rsidRDefault="00A74A4F">
      <w:pPr>
        <w:ind w:right="284"/>
        <w:rPr>
          <w:rFonts w:ascii="Arial" w:eastAsia="Arial" w:hAnsi="Arial" w:cs="Arial"/>
          <w:color w:val="000000"/>
          <w:sz w:val="22"/>
          <w:szCs w:val="22"/>
          <w:lang w:val="pt-BR"/>
        </w:rPr>
      </w:pPr>
    </w:p>
    <w:p w14:paraId="4BC6E40F" w14:textId="27E66E3D" w:rsidR="00A74A4F" w:rsidRDefault="001F5B14">
      <w:pPr>
        <w:jc w:val="both"/>
        <w:rPr>
          <w:rFonts w:ascii="Cambria" w:eastAsia="Cambria" w:hAnsi="Cambria" w:cs="Cambria"/>
          <w:lang w:val="pt-BR"/>
        </w:rPr>
      </w:pPr>
      <w:r>
        <w:rPr>
          <w:rFonts w:ascii="Arial" w:eastAsia="Arial" w:hAnsi="Arial" w:cs="Arial"/>
          <w:b/>
          <w:color w:val="000000"/>
          <w:sz w:val="22"/>
          <w:szCs w:val="22"/>
          <w:lang w:val="pt-BR"/>
        </w:rPr>
        <w:t>Contribuição para a sociedade</w:t>
      </w:r>
      <w:r>
        <w:rPr>
          <w:rFonts w:ascii="Arial" w:eastAsia="Arial" w:hAnsi="Arial" w:cs="Arial"/>
          <w:color w:val="000000"/>
          <w:sz w:val="22"/>
          <w:szCs w:val="22"/>
          <w:lang w:val="pt-BR"/>
        </w:rPr>
        <w:t xml:space="preserve">: </w:t>
      </w:r>
      <w:r>
        <w:rPr>
          <w:rFonts w:ascii="Arial" w:eastAsia="Arial" w:hAnsi="Arial" w:cs="Arial"/>
          <w:sz w:val="22"/>
          <w:szCs w:val="22"/>
          <w:lang w:val="pt-BR"/>
        </w:rPr>
        <w:t xml:space="preserve">A alta produção por hectare na produção leiteira é alcançada com um bom manejo de pasto, desde que uma combinação de espécies seja utilizada considerando as condições climáticas ao longo do ano. </w:t>
      </w:r>
      <w:r w:rsidR="0057062D">
        <w:rPr>
          <w:rFonts w:ascii="Arial" w:eastAsia="Arial" w:hAnsi="Arial" w:cs="Arial"/>
          <w:sz w:val="22"/>
          <w:szCs w:val="22"/>
          <w:lang w:val="pt-BR"/>
        </w:rPr>
        <w:t>Ao longo dos</w:t>
      </w:r>
      <w:r w:rsidR="0057062D" w:rsidRPr="0057062D">
        <w:rPr>
          <w:rFonts w:ascii="Arial" w:eastAsia="Arial" w:hAnsi="Arial" w:cs="Arial"/>
          <w:sz w:val="22"/>
          <w:szCs w:val="22"/>
          <w:lang w:val="pt-BR"/>
        </w:rPr>
        <w:t xml:space="preserve"> anos de 2020 a 2022, este projeto analisou a qualidade das forragens em 495 pastos de propriedades leiteiras, que fazem parte do Programa de Pecuária da Empresa de Pesquisa Agropecuária e Extensão Rural de Santa Catarina (EP</w:t>
      </w:r>
      <w:r w:rsidR="0057062D">
        <w:rPr>
          <w:rFonts w:ascii="Arial" w:eastAsia="Arial" w:hAnsi="Arial" w:cs="Arial"/>
          <w:sz w:val="22"/>
          <w:szCs w:val="22"/>
          <w:lang w:val="pt-BR"/>
        </w:rPr>
        <w:t xml:space="preserve">AGRI) </w:t>
      </w:r>
      <w:r w:rsidR="0057062D" w:rsidRPr="0057062D">
        <w:rPr>
          <w:rFonts w:ascii="Arial" w:eastAsia="Arial" w:hAnsi="Arial" w:cs="Arial"/>
          <w:sz w:val="22"/>
          <w:szCs w:val="22"/>
          <w:lang w:val="pt-BR"/>
        </w:rPr>
        <w:t>considerando diferentes combinações de espécies.</w:t>
      </w:r>
      <w:r w:rsidR="0057062D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eastAsia="Arial" w:hAnsi="Arial" w:cs="Arial"/>
          <w:sz w:val="22"/>
          <w:szCs w:val="22"/>
          <w:lang w:val="pt-BR"/>
        </w:rPr>
        <w:t>Observou-se que há uma variedade de espécies cultivadas nas diferentes estações e mesorregiões e que combinadas, ao longo do ano ofereceram uma boa média de qualidade, com valores de proteína bruta superando 18%.  Esses resultados subsidiam técnicos e produtores para uma visão geral da produção a base de pasto no estado, auxiliando as recomendações e decisões de manejo para a eficiência do sistema.</w:t>
      </w:r>
    </w:p>
    <w:p w14:paraId="2827E007" w14:textId="77777777" w:rsidR="00A74A4F" w:rsidRDefault="00A74A4F">
      <w:pPr>
        <w:jc w:val="both"/>
        <w:rPr>
          <w:rFonts w:ascii="Arial" w:eastAsia="Arial" w:hAnsi="Arial" w:cs="Arial"/>
          <w:color w:val="000000"/>
          <w:sz w:val="22"/>
          <w:szCs w:val="22"/>
          <w:lang w:val="pt-BR"/>
        </w:rPr>
      </w:pPr>
    </w:p>
    <w:p w14:paraId="1CCA3873" w14:textId="77777777" w:rsidR="00A74A4F" w:rsidRDefault="001F5B14">
      <w:pPr>
        <w:jc w:val="both"/>
        <w:rPr>
          <w:rFonts w:ascii="Cambria" w:eastAsia="Cambria" w:hAnsi="Cambria" w:cs="Cambria"/>
          <w:color w:val="00000A"/>
          <w:lang w:val="pt-BR"/>
        </w:rPr>
      </w:pPr>
      <w:r>
        <w:rPr>
          <w:rFonts w:ascii="Arial" w:eastAsia="Arial" w:hAnsi="Arial" w:cs="Arial"/>
          <w:b/>
          <w:color w:val="000000"/>
          <w:sz w:val="22"/>
          <w:szCs w:val="22"/>
          <w:lang w:val="pt-BR"/>
        </w:rPr>
        <w:t>Palavras-chave</w:t>
      </w:r>
      <w:r>
        <w:rPr>
          <w:rFonts w:ascii="Arial" w:eastAsia="Arial" w:hAnsi="Arial" w:cs="Arial"/>
          <w:color w:val="000000"/>
          <w:sz w:val="22"/>
          <w:szCs w:val="22"/>
          <w:lang w:val="pt-BR"/>
        </w:rPr>
        <w:t xml:space="preserve">: </w:t>
      </w:r>
      <w:r>
        <w:rPr>
          <w:rFonts w:ascii="Arial" w:eastAsia="Arial" w:hAnsi="Arial" w:cs="Arial"/>
          <w:sz w:val="22"/>
          <w:szCs w:val="22"/>
          <w:lang w:val="pt-BR"/>
        </w:rPr>
        <w:t>aveia, azevém, bovinocultura de leite, pastagens, sobressemeadura</w:t>
      </w:r>
    </w:p>
    <w:p w14:paraId="14E44755" w14:textId="77777777" w:rsidR="00A74A4F" w:rsidRDefault="00A74A4F">
      <w:pPr>
        <w:jc w:val="both"/>
        <w:rPr>
          <w:rFonts w:ascii="Arial" w:eastAsia="Arial" w:hAnsi="Arial" w:cs="Arial"/>
          <w:color w:val="000000"/>
          <w:sz w:val="22"/>
          <w:szCs w:val="22"/>
          <w:lang w:val="pt-BR"/>
        </w:rPr>
      </w:pPr>
    </w:p>
    <w:p w14:paraId="14913A29" w14:textId="77777777" w:rsidR="00A74A4F" w:rsidRDefault="001F5B14">
      <w:pPr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b/>
          <w:color w:val="000000"/>
          <w:sz w:val="22"/>
          <w:szCs w:val="22"/>
          <w:lang w:val="pt-BR"/>
        </w:rPr>
        <w:t>Introdução:</w:t>
      </w:r>
      <w:r>
        <w:rPr>
          <w:rFonts w:ascii="Arial" w:eastAsia="Arial" w:hAnsi="Arial" w:cs="Arial"/>
          <w:color w:val="FF0000"/>
          <w:sz w:val="22"/>
          <w:szCs w:val="22"/>
          <w:lang w:val="pt-BR"/>
        </w:rPr>
        <w:t xml:space="preserve"> </w:t>
      </w:r>
      <w:r>
        <w:rPr>
          <w:rFonts w:ascii="Arial" w:eastAsia="Arial" w:hAnsi="Arial" w:cs="Arial"/>
          <w:sz w:val="22"/>
          <w:szCs w:val="22"/>
          <w:lang w:val="pt-BR"/>
        </w:rPr>
        <w:t xml:space="preserve">Conhecer a qualidade das forragens catarinenses é relevante para desenvolver o planejamento forrageiro, e, ao buscar a maior qualidade e produtividade do pasto, </w:t>
      </w:r>
      <w:r>
        <w:rPr>
          <w:rFonts w:ascii="Arial" w:hAnsi="Arial" w:cs="Arial"/>
          <w:sz w:val="22"/>
          <w:szCs w:val="22"/>
          <w:lang w:val="pt-BR"/>
        </w:rPr>
        <w:t>se observa uma maior capacidade de suporte dessas pastagens, reduzindo os custos com alimentação, aumentando o índice da intensidade de uso da área rural e a renda dos produtores (JOCHIM et al., 2017). Consorciar gramíneas perenes de verão com leguminosas anuais e/ou perenes de inverno e verão, sem revolver o solo, é a forma mais eficiente de construir sistemas com alto potencial produtivo, com dispersão da produção por todos os meses do ano, colhendo pastagens de alta qualidade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eastAsia="Arial" w:hAnsi="Arial" w:cs="Arial"/>
          <w:sz w:val="22"/>
          <w:szCs w:val="22"/>
          <w:lang w:val="pt-BR"/>
        </w:rPr>
        <w:t>(FERNANDES &amp; VALOIS, 2021). Neste trabalho, objetivou-se analisar a diversidade e a qualidade das forragens de propriedades leiteiras em Santa Catarina em diferentes mesorregiões e estações do ano.</w:t>
      </w:r>
    </w:p>
    <w:p w14:paraId="2270E5CD" w14:textId="77777777" w:rsidR="00A74A4F" w:rsidRDefault="00A74A4F">
      <w:pPr>
        <w:jc w:val="both"/>
        <w:rPr>
          <w:rFonts w:ascii="Arial" w:eastAsia="Arial" w:hAnsi="Arial" w:cs="Arial"/>
          <w:color w:val="000000"/>
          <w:sz w:val="22"/>
          <w:szCs w:val="22"/>
          <w:lang w:val="pt-BR"/>
        </w:rPr>
      </w:pPr>
    </w:p>
    <w:p w14:paraId="602CB812" w14:textId="1C22F9DE" w:rsidR="00A74A4F" w:rsidRDefault="001F5B14">
      <w:pPr>
        <w:jc w:val="both"/>
        <w:rPr>
          <w:rFonts w:ascii="Arial" w:eastAsia="Arial" w:hAnsi="Arial" w:cs="Arial"/>
          <w:sz w:val="22"/>
          <w:szCs w:val="22"/>
          <w:lang w:val="pt-BR"/>
        </w:rPr>
      </w:pPr>
      <w:bookmarkStart w:id="0" w:name="_heading=h.gjdgxs"/>
      <w:bookmarkEnd w:id="0"/>
      <w:r>
        <w:rPr>
          <w:rFonts w:ascii="Arial" w:eastAsia="Arial" w:hAnsi="Arial" w:cs="Arial"/>
          <w:b/>
          <w:color w:val="000000"/>
          <w:sz w:val="22"/>
          <w:szCs w:val="22"/>
          <w:lang w:val="pt-BR"/>
        </w:rPr>
        <w:t>Material e métodos: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Entre os anos de 2020 e 2022 foram coletadas 495 amostras de forragem em Unidades de Referência Tecnológica (URT’s) participantes do Programa de Pecuária da Empresa de Pesquisa Agropecuária e Extensão Rural de Santa Catarina (</w:t>
      </w:r>
      <w:r w:rsidRPr="0010224B">
        <w:rPr>
          <w:rFonts w:ascii="Arial" w:eastAsia="Arial" w:hAnsi="Arial" w:cs="Arial"/>
          <w:sz w:val="22"/>
          <w:szCs w:val="22"/>
          <w:lang w:val="pt-BR"/>
        </w:rPr>
        <w:t>EPAGRI)</w:t>
      </w:r>
      <w:r w:rsidR="0010224B" w:rsidRPr="0010224B">
        <w:rPr>
          <w:rFonts w:ascii="Arial" w:eastAsia="Arial" w:hAnsi="Arial" w:cs="Arial"/>
          <w:sz w:val="22"/>
          <w:szCs w:val="22"/>
          <w:lang w:val="pt-BR"/>
        </w:rPr>
        <w:t>.</w:t>
      </w:r>
      <w:r w:rsidRPr="0010224B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eastAsia="Arial" w:hAnsi="Arial" w:cs="Arial"/>
          <w:sz w:val="22"/>
          <w:szCs w:val="22"/>
          <w:lang w:val="pt-BR"/>
        </w:rPr>
        <w:t>As espécies identificadas no momento da coleta foram as seguintes</w:t>
      </w:r>
      <w:r w:rsidR="00680363">
        <w:rPr>
          <w:rFonts w:ascii="Arial" w:eastAsia="Arial" w:hAnsi="Arial" w:cs="Arial"/>
          <w:sz w:val="22"/>
          <w:szCs w:val="22"/>
          <w:lang w:val="pt-BR"/>
        </w:rPr>
        <w:t>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cultivadas de forma solteira ou em consórcio:</w:t>
      </w:r>
      <w:r w:rsidR="0057062D">
        <w:rPr>
          <w:rFonts w:ascii="Arial" w:eastAsia="Arial" w:hAnsi="Arial" w:cs="Arial"/>
          <w:sz w:val="22"/>
          <w:szCs w:val="22"/>
          <w:lang w:val="pt-BR"/>
        </w:rPr>
        <w:t xml:space="preserve"> Anuais- Aveia branca (</w:t>
      </w:r>
      <w:r>
        <w:rPr>
          <w:rFonts w:ascii="Arial" w:eastAsia="Arial" w:hAnsi="Arial" w:cs="Arial"/>
          <w:i/>
          <w:sz w:val="22"/>
          <w:szCs w:val="22"/>
          <w:lang w:val="pt-BR"/>
        </w:rPr>
        <w:t>Avena sativa</w:t>
      </w:r>
      <w:r w:rsidR="0057062D" w:rsidRPr="0057062D">
        <w:rPr>
          <w:rFonts w:ascii="Arial" w:eastAsia="Arial" w:hAnsi="Arial" w:cs="Arial"/>
          <w:sz w:val="22"/>
          <w:szCs w:val="22"/>
          <w:lang w:val="pt-BR"/>
        </w:rPr>
        <w:t>),</w:t>
      </w:r>
      <w:r w:rsidR="0057062D">
        <w:rPr>
          <w:rFonts w:ascii="Arial" w:eastAsia="Arial" w:hAnsi="Arial" w:cs="Arial"/>
          <w:i/>
          <w:sz w:val="22"/>
          <w:szCs w:val="22"/>
          <w:lang w:val="pt-BR"/>
        </w:rPr>
        <w:t xml:space="preserve"> </w:t>
      </w:r>
      <w:r w:rsidR="0057062D" w:rsidRPr="0057062D">
        <w:rPr>
          <w:rFonts w:ascii="Arial" w:eastAsia="Arial" w:hAnsi="Arial" w:cs="Arial"/>
          <w:sz w:val="22"/>
          <w:szCs w:val="22"/>
          <w:lang w:val="pt-BR"/>
        </w:rPr>
        <w:t>Azevém</w:t>
      </w:r>
      <w:r w:rsidR="0057062D">
        <w:rPr>
          <w:rFonts w:ascii="Arial" w:eastAsia="Arial" w:hAnsi="Arial" w:cs="Arial"/>
          <w:i/>
          <w:sz w:val="22"/>
          <w:szCs w:val="22"/>
          <w:lang w:val="pt-BR"/>
        </w:rPr>
        <w:t xml:space="preserve"> (</w:t>
      </w:r>
      <w:r>
        <w:rPr>
          <w:rFonts w:ascii="Arial" w:eastAsia="Arial" w:hAnsi="Arial" w:cs="Arial"/>
          <w:i/>
          <w:sz w:val="22"/>
          <w:szCs w:val="22"/>
          <w:lang w:val="pt-BR"/>
        </w:rPr>
        <w:t>Lolium multiflorum</w:t>
      </w:r>
      <w:r w:rsidR="0057062D">
        <w:rPr>
          <w:rFonts w:ascii="Arial" w:eastAsia="Arial" w:hAnsi="Arial" w:cs="Arial"/>
          <w:i/>
          <w:sz w:val="22"/>
          <w:szCs w:val="22"/>
          <w:lang w:val="pt-BR"/>
        </w:rPr>
        <w:t xml:space="preserve">) </w:t>
      </w:r>
      <w:r w:rsidR="0057062D" w:rsidRPr="0057062D">
        <w:rPr>
          <w:rFonts w:ascii="Arial" w:eastAsia="Arial" w:hAnsi="Arial" w:cs="Arial"/>
          <w:sz w:val="22"/>
          <w:szCs w:val="22"/>
          <w:lang w:val="pt-BR"/>
        </w:rPr>
        <w:t>e</w:t>
      </w:r>
      <w:r>
        <w:rPr>
          <w:rFonts w:ascii="Arial" w:eastAsia="Arial" w:hAnsi="Arial" w:cs="Arial"/>
          <w:i/>
          <w:sz w:val="22"/>
          <w:szCs w:val="22"/>
          <w:lang w:val="pt-BR"/>
        </w:rPr>
        <w:t xml:space="preserve"> </w:t>
      </w:r>
      <w:r w:rsidR="0057062D" w:rsidRPr="0057062D">
        <w:rPr>
          <w:rFonts w:ascii="Arial" w:eastAsia="Arial" w:hAnsi="Arial" w:cs="Arial"/>
          <w:sz w:val="22"/>
          <w:szCs w:val="22"/>
          <w:lang w:val="pt-BR"/>
        </w:rPr>
        <w:t>Trevo</w:t>
      </w:r>
      <w:r w:rsidR="0057062D">
        <w:rPr>
          <w:rFonts w:ascii="Arial" w:eastAsia="Arial" w:hAnsi="Arial" w:cs="Arial"/>
          <w:sz w:val="22"/>
          <w:szCs w:val="22"/>
          <w:lang w:val="pt-BR"/>
        </w:rPr>
        <w:t>-</w:t>
      </w:r>
      <w:r w:rsidR="0057062D" w:rsidRPr="0057062D">
        <w:rPr>
          <w:rFonts w:ascii="Arial" w:eastAsia="Arial" w:hAnsi="Arial" w:cs="Arial"/>
          <w:sz w:val="22"/>
          <w:szCs w:val="22"/>
          <w:lang w:val="pt-BR"/>
        </w:rPr>
        <w:t>Branco</w:t>
      </w:r>
      <w:r w:rsidR="0014752F">
        <w:rPr>
          <w:rFonts w:ascii="Arial" w:eastAsia="Arial" w:hAnsi="Arial" w:cs="Arial"/>
          <w:i/>
          <w:sz w:val="22"/>
          <w:szCs w:val="22"/>
          <w:lang w:val="pt-BR"/>
        </w:rPr>
        <w:t xml:space="preserve"> </w:t>
      </w:r>
      <w:r w:rsidR="0057062D">
        <w:rPr>
          <w:rFonts w:ascii="Arial" w:eastAsia="Arial" w:hAnsi="Arial" w:cs="Arial"/>
          <w:i/>
          <w:sz w:val="22"/>
          <w:szCs w:val="22"/>
          <w:lang w:val="pt-BR"/>
        </w:rPr>
        <w:t>(Trifolium repens)</w:t>
      </w:r>
      <w:r w:rsidR="0014752F">
        <w:rPr>
          <w:rFonts w:ascii="Arial" w:eastAsia="Arial" w:hAnsi="Arial" w:cs="Arial"/>
          <w:i/>
          <w:sz w:val="22"/>
          <w:szCs w:val="22"/>
          <w:lang w:val="pt-BR"/>
        </w:rPr>
        <w:t xml:space="preserve">, </w:t>
      </w:r>
      <w:r w:rsidR="0014752F" w:rsidRPr="0014752F">
        <w:rPr>
          <w:rFonts w:ascii="Arial" w:eastAsia="Arial" w:hAnsi="Arial" w:cs="Arial"/>
          <w:sz w:val="22"/>
          <w:szCs w:val="22"/>
          <w:lang w:val="pt-BR"/>
        </w:rPr>
        <w:t>Perenes -</w:t>
      </w:r>
      <w:r w:rsidR="0014752F">
        <w:rPr>
          <w:rFonts w:ascii="Arial" w:eastAsia="Arial" w:hAnsi="Arial" w:cs="Arial"/>
          <w:i/>
          <w:sz w:val="22"/>
          <w:szCs w:val="22"/>
          <w:lang w:val="pt-BR"/>
        </w:rPr>
        <w:t xml:space="preserve"> </w:t>
      </w:r>
      <w:r w:rsidR="0057062D" w:rsidRPr="0014752F">
        <w:rPr>
          <w:rFonts w:ascii="Arial" w:eastAsia="Arial" w:hAnsi="Arial" w:cs="Arial"/>
          <w:sz w:val="22"/>
          <w:szCs w:val="22"/>
          <w:lang w:val="pt-BR"/>
        </w:rPr>
        <w:t>Tifton 85 e Jiggs</w:t>
      </w:r>
      <w:r w:rsidR="0057062D">
        <w:rPr>
          <w:rFonts w:ascii="Arial" w:eastAsia="Arial" w:hAnsi="Arial" w:cs="Arial"/>
          <w:i/>
          <w:sz w:val="22"/>
          <w:szCs w:val="22"/>
          <w:lang w:val="pt-BR"/>
        </w:rPr>
        <w:t xml:space="preserve"> (</w:t>
      </w:r>
      <w:r>
        <w:rPr>
          <w:rFonts w:ascii="Arial" w:eastAsia="Arial" w:hAnsi="Arial" w:cs="Arial"/>
          <w:i/>
          <w:sz w:val="22"/>
          <w:szCs w:val="22"/>
          <w:lang w:val="pt-BR"/>
        </w:rPr>
        <w:t xml:space="preserve">Cynodon </w:t>
      </w:r>
      <w:r w:rsidR="0057062D">
        <w:rPr>
          <w:rFonts w:ascii="Arial" w:eastAsia="Arial" w:hAnsi="Arial" w:cs="Arial"/>
          <w:i/>
          <w:sz w:val="22"/>
          <w:szCs w:val="22"/>
          <w:lang w:val="pt-BR"/>
        </w:rPr>
        <w:t>sp.)</w:t>
      </w:r>
      <w:r>
        <w:rPr>
          <w:rFonts w:ascii="Arial" w:eastAsia="Arial" w:hAnsi="Arial" w:cs="Arial"/>
          <w:i/>
          <w:sz w:val="22"/>
          <w:szCs w:val="22"/>
          <w:lang w:val="pt-BR"/>
        </w:rPr>
        <w:t xml:space="preserve">, </w:t>
      </w:r>
      <w:r w:rsidR="0057062D" w:rsidRPr="0014752F">
        <w:rPr>
          <w:rFonts w:ascii="Arial" w:eastAsia="Arial" w:hAnsi="Arial" w:cs="Arial"/>
          <w:sz w:val="22"/>
          <w:szCs w:val="22"/>
          <w:lang w:val="pt-BR"/>
        </w:rPr>
        <w:t xml:space="preserve">Capim </w:t>
      </w:r>
      <w:r w:rsidR="0014752F">
        <w:rPr>
          <w:rFonts w:ascii="Arial" w:eastAsia="Arial" w:hAnsi="Arial" w:cs="Arial"/>
          <w:sz w:val="22"/>
          <w:szCs w:val="22"/>
          <w:lang w:val="pt-BR"/>
        </w:rPr>
        <w:t>Kurumi</w:t>
      </w:r>
      <w:r w:rsidR="0057062D">
        <w:rPr>
          <w:rFonts w:ascii="Arial" w:eastAsia="Arial" w:hAnsi="Arial" w:cs="Arial"/>
          <w:i/>
          <w:sz w:val="22"/>
          <w:szCs w:val="22"/>
          <w:lang w:val="pt-BR"/>
        </w:rPr>
        <w:t xml:space="preserve"> (</w:t>
      </w:r>
      <w:r>
        <w:rPr>
          <w:rFonts w:ascii="Arial" w:eastAsia="Arial" w:hAnsi="Arial" w:cs="Arial"/>
          <w:i/>
          <w:sz w:val="22"/>
          <w:szCs w:val="22"/>
          <w:lang w:val="pt-BR"/>
        </w:rPr>
        <w:t>Pennisetum purpureum</w:t>
      </w:r>
      <w:r w:rsidR="0014752F">
        <w:rPr>
          <w:rFonts w:ascii="Arial" w:eastAsia="Arial" w:hAnsi="Arial" w:cs="Arial"/>
          <w:i/>
          <w:sz w:val="22"/>
          <w:szCs w:val="22"/>
          <w:lang w:val="pt-BR"/>
        </w:rPr>
        <w:t xml:space="preserve">), </w:t>
      </w:r>
      <w:r w:rsidR="0014752F" w:rsidRPr="0014752F">
        <w:rPr>
          <w:rFonts w:ascii="Arial" w:eastAsia="Arial" w:hAnsi="Arial" w:cs="Arial"/>
          <w:sz w:val="22"/>
          <w:szCs w:val="22"/>
          <w:lang w:val="pt-BR"/>
        </w:rPr>
        <w:t>Estrela-africana</w:t>
      </w:r>
      <w:r w:rsidR="0014752F">
        <w:rPr>
          <w:rFonts w:ascii="Arial" w:eastAsia="Arial" w:hAnsi="Arial" w:cs="Arial"/>
          <w:i/>
          <w:sz w:val="22"/>
          <w:szCs w:val="22"/>
          <w:lang w:val="pt-BR"/>
        </w:rPr>
        <w:t xml:space="preserve"> (</w:t>
      </w:r>
      <w:r>
        <w:rPr>
          <w:rFonts w:ascii="Arial" w:eastAsia="Arial" w:hAnsi="Arial" w:cs="Arial"/>
          <w:i/>
          <w:sz w:val="22"/>
          <w:szCs w:val="22"/>
          <w:lang w:val="pt-BR"/>
        </w:rPr>
        <w:t>Cynodon nlemfluensis</w:t>
      </w:r>
      <w:r w:rsidR="0014752F">
        <w:rPr>
          <w:rFonts w:ascii="Arial" w:eastAsia="Arial" w:hAnsi="Arial" w:cs="Arial"/>
          <w:i/>
          <w:sz w:val="22"/>
          <w:szCs w:val="22"/>
          <w:lang w:val="pt-BR"/>
        </w:rPr>
        <w:t xml:space="preserve">) </w:t>
      </w:r>
      <w:r w:rsidR="0014752F" w:rsidRPr="0014752F">
        <w:rPr>
          <w:rFonts w:ascii="Arial" w:eastAsia="Arial" w:hAnsi="Arial" w:cs="Arial"/>
          <w:sz w:val="22"/>
          <w:szCs w:val="22"/>
          <w:lang w:val="pt-BR"/>
        </w:rPr>
        <w:t>e</w:t>
      </w:r>
      <w:r w:rsidR="0014752F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14752F" w:rsidRPr="0014752F">
        <w:rPr>
          <w:rFonts w:ascii="Arial" w:eastAsia="Arial" w:hAnsi="Arial" w:cs="Arial"/>
          <w:sz w:val="22"/>
          <w:szCs w:val="22"/>
          <w:lang w:val="pt-BR"/>
        </w:rPr>
        <w:t>Missioneira gigante</w:t>
      </w:r>
      <w:r w:rsidR="0014752F">
        <w:rPr>
          <w:rFonts w:ascii="Arial" w:eastAsia="Arial" w:hAnsi="Arial" w:cs="Arial"/>
          <w:sz w:val="22"/>
          <w:szCs w:val="22"/>
          <w:lang w:val="pt-BR"/>
        </w:rPr>
        <w:t xml:space="preserve"> (</w:t>
      </w:r>
      <w:r>
        <w:rPr>
          <w:rFonts w:ascii="Arial" w:eastAsia="Arial" w:hAnsi="Arial" w:cs="Arial"/>
          <w:i/>
          <w:sz w:val="22"/>
          <w:szCs w:val="22"/>
          <w:lang w:val="pt-BR"/>
        </w:rPr>
        <w:t>Axonopus catharinensis</w:t>
      </w:r>
      <w:r w:rsidR="0014752F">
        <w:rPr>
          <w:rFonts w:ascii="Arial" w:eastAsia="Arial" w:hAnsi="Arial" w:cs="Arial"/>
          <w:i/>
          <w:sz w:val="22"/>
          <w:szCs w:val="22"/>
          <w:lang w:val="pt-BR"/>
        </w:rPr>
        <w:t>)</w:t>
      </w:r>
      <w:r>
        <w:rPr>
          <w:rFonts w:ascii="Arial" w:eastAsia="Arial" w:hAnsi="Arial" w:cs="Arial"/>
          <w:i/>
          <w:sz w:val="22"/>
          <w:szCs w:val="22"/>
          <w:lang w:val="pt-BR"/>
        </w:rPr>
        <w:t>.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14752F" w:rsidRPr="0014752F">
        <w:rPr>
          <w:rFonts w:ascii="Arial" w:hAnsi="Arial" w:cs="Arial"/>
          <w:color w:val="000000"/>
          <w:sz w:val="22"/>
          <w:szCs w:val="22"/>
          <w:lang w:val="pt-BR"/>
        </w:rPr>
        <w:t xml:space="preserve">As coletas eram realizadas </w:t>
      </w:r>
      <w:r w:rsidR="00871DBA">
        <w:rPr>
          <w:rFonts w:ascii="Arial" w:hAnsi="Arial" w:cs="Arial"/>
          <w:color w:val="000000"/>
          <w:sz w:val="22"/>
          <w:szCs w:val="22"/>
          <w:lang w:val="pt-BR"/>
        </w:rPr>
        <w:t xml:space="preserve">por propriedade </w:t>
      </w:r>
      <w:r w:rsidR="0014752F" w:rsidRPr="0014752F">
        <w:rPr>
          <w:rFonts w:ascii="Arial" w:hAnsi="Arial" w:cs="Arial"/>
          <w:color w:val="000000"/>
          <w:sz w:val="22"/>
          <w:szCs w:val="22"/>
          <w:lang w:val="pt-BR"/>
        </w:rPr>
        <w:t>no momento em que o produtor indicava que a parcela seria ut</w:t>
      </w:r>
      <w:r w:rsidR="0014752F">
        <w:rPr>
          <w:rFonts w:ascii="Arial" w:hAnsi="Arial" w:cs="Arial"/>
          <w:color w:val="000000"/>
          <w:sz w:val="22"/>
          <w:szCs w:val="22"/>
          <w:lang w:val="pt-BR"/>
        </w:rPr>
        <w:t>ilizada pelos animais em</w:t>
      </w:r>
      <w:r w:rsidR="0014752F" w:rsidRPr="0014752F">
        <w:rPr>
          <w:rFonts w:ascii="Arial" w:hAnsi="Arial" w:cs="Arial"/>
          <w:color w:val="000000"/>
          <w:sz w:val="22"/>
          <w:szCs w:val="22"/>
          <w:lang w:val="pt-BR"/>
        </w:rPr>
        <w:t xml:space="preserve"> um quadro de 25x25cm em 4 pontos da parcela</w:t>
      </w:r>
      <w:r w:rsidR="0014752F">
        <w:rPr>
          <w:rFonts w:ascii="Arial" w:hAnsi="Arial" w:cs="Arial"/>
          <w:color w:val="000000"/>
          <w:sz w:val="22"/>
          <w:szCs w:val="22"/>
          <w:lang w:val="pt-BR"/>
        </w:rPr>
        <w:t xml:space="preserve"> (em seguida feita uma amostra composta)</w:t>
      </w:r>
      <w:r w:rsidR="0014752F" w:rsidRPr="0014752F">
        <w:rPr>
          <w:rFonts w:ascii="Arial" w:hAnsi="Arial" w:cs="Arial"/>
          <w:color w:val="000000"/>
          <w:sz w:val="22"/>
          <w:szCs w:val="22"/>
          <w:lang w:val="pt-BR"/>
        </w:rPr>
        <w:t xml:space="preserve"> a 7cm do solo</w:t>
      </w:r>
      <w:r w:rsidR="0014752F">
        <w:rPr>
          <w:rFonts w:ascii="Arial" w:hAnsi="Arial" w:cs="Arial"/>
          <w:color w:val="000000"/>
          <w:sz w:val="22"/>
          <w:szCs w:val="22"/>
          <w:lang w:val="pt-BR"/>
        </w:rPr>
        <w:t xml:space="preserve">, à exceção do Capim Kurumi que era </w:t>
      </w:r>
      <w:r w:rsidR="0014752F" w:rsidRPr="0014752F">
        <w:rPr>
          <w:rFonts w:ascii="Arial" w:hAnsi="Arial" w:cs="Arial"/>
          <w:color w:val="000000"/>
          <w:sz w:val="22"/>
          <w:szCs w:val="22"/>
          <w:lang w:val="pt-BR"/>
        </w:rPr>
        <w:t>em quadro de 1x1m a 35cm do solo.</w:t>
      </w:r>
      <w:r w:rsidR="0014752F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>
        <w:rPr>
          <w:rFonts w:ascii="Arial" w:eastAsia="Arial" w:hAnsi="Arial" w:cs="Arial"/>
          <w:sz w:val="22"/>
          <w:szCs w:val="22"/>
          <w:lang w:val="pt-BR"/>
        </w:rPr>
        <w:t>Após secas e moídas</w:t>
      </w:r>
      <w:r w:rsidR="00871DBA">
        <w:rPr>
          <w:rFonts w:ascii="Arial" w:eastAsia="Arial" w:hAnsi="Arial" w:cs="Arial"/>
          <w:sz w:val="22"/>
          <w:szCs w:val="22"/>
          <w:lang w:val="pt-BR"/>
        </w:rPr>
        <w:t xml:space="preserve">, </w:t>
      </w:r>
      <w:r>
        <w:rPr>
          <w:rFonts w:ascii="Arial" w:eastAsia="Arial" w:hAnsi="Arial" w:cs="Arial"/>
          <w:sz w:val="22"/>
          <w:szCs w:val="22"/>
          <w:lang w:val="pt-BR"/>
        </w:rPr>
        <w:t xml:space="preserve">determinou-se nas amostras a PB (proteína bruta), a FDN </w:t>
      </w:r>
      <w:r w:rsidR="00871DBA">
        <w:rPr>
          <w:rFonts w:ascii="Arial" w:eastAsia="Arial" w:hAnsi="Arial" w:cs="Arial"/>
          <w:sz w:val="22"/>
          <w:szCs w:val="22"/>
          <w:lang w:val="pt-BR"/>
        </w:rPr>
        <w:t xml:space="preserve">(Fibra em Detergente Neutro) e </w:t>
      </w:r>
      <w:r>
        <w:rPr>
          <w:rFonts w:ascii="Arial" w:eastAsia="Arial" w:hAnsi="Arial" w:cs="Arial"/>
          <w:sz w:val="22"/>
          <w:szCs w:val="22"/>
          <w:lang w:val="pt-BR"/>
        </w:rPr>
        <w:t xml:space="preserve">a FDA (Fibra em Detergente Ácido) por espectroscopia de infravermelho próximo (MPA FT-NIR, BRUKER® OPTIK) no </w:t>
      </w:r>
      <w:bookmarkStart w:id="1" w:name="_GoBack"/>
      <w:bookmarkEnd w:id="1"/>
      <w:r w:rsidR="0010224B">
        <w:rPr>
          <w:rFonts w:ascii="Arial" w:eastAsia="Arial" w:hAnsi="Arial" w:cs="Arial"/>
          <w:sz w:val="22"/>
          <w:szCs w:val="22"/>
          <w:lang w:val="pt-BR"/>
        </w:rPr>
        <w:t>Laboratório de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Forragicultura do Departamento de Zootecnia e Desenvolvimento Rural do Centro de Ciências Agrárias da Universidade Federal de Santa Catarina. Foram </w:t>
      </w:r>
      <w:r>
        <w:rPr>
          <w:rFonts w:ascii="Arial" w:eastAsia="Arial" w:hAnsi="Arial" w:cs="Arial"/>
          <w:sz w:val="22"/>
          <w:szCs w:val="22"/>
          <w:lang w:val="pt-BR"/>
        </w:rPr>
        <w:lastRenderedPageBreak/>
        <w:t>calculadas as médias de qualidade d</w:t>
      </w:r>
      <w:r w:rsidR="00D211C0">
        <w:rPr>
          <w:rFonts w:ascii="Arial" w:eastAsia="Arial" w:hAnsi="Arial" w:cs="Arial"/>
          <w:sz w:val="22"/>
          <w:szCs w:val="22"/>
          <w:lang w:val="pt-BR"/>
        </w:rPr>
        <w:t xml:space="preserve">as forrageiras </w:t>
      </w:r>
      <w:r w:rsidR="009D165B">
        <w:rPr>
          <w:rFonts w:ascii="Arial" w:eastAsia="Arial" w:hAnsi="Arial" w:cs="Arial"/>
          <w:sz w:val="22"/>
          <w:szCs w:val="22"/>
          <w:lang w:val="pt-BR"/>
        </w:rPr>
        <w:t>obtidas nas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diferentes regiões</w:t>
      </w:r>
      <w:r w:rsidR="009D165B">
        <w:rPr>
          <w:rFonts w:ascii="Arial" w:eastAsia="Arial" w:hAnsi="Arial" w:cs="Arial"/>
          <w:sz w:val="22"/>
          <w:szCs w:val="22"/>
          <w:lang w:val="pt-BR"/>
        </w:rPr>
        <w:t xml:space="preserve"> e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estações</w:t>
      </w:r>
      <w:r w:rsidR="009D165B">
        <w:rPr>
          <w:rFonts w:ascii="Arial" w:eastAsia="Arial" w:hAnsi="Arial" w:cs="Arial"/>
          <w:sz w:val="22"/>
          <w:szCs w:val="22"/>
          <w:lang w:val="pt-BR"/>
        </w:rPr>
        <w:t xml:space="preserve"> do ano, bem como</w:t>
      </w:r>
      <w:r w:rsidR="00871DBA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eastAsia="Arial" w:hAnsi="Arial" w:cs="Arial"/>
          <w:sz w:val="22"/>
          <w:szCs w:val="22"/>
          <w:lang w:val="pt-BR"/>
        </w:rPr>
        <w:t>a frequência de espécies e cultivos utilizadas.</w:t>
      </w:r>
    </w:p>
    <w:p w14:paraId="2E9E7922" w14:textId="77777777" w:rsidR="00A74A4F" w:rsidRDefault="00A74A4F">
      <w:pPr>
        <w:jc w:val="both"/>
        <w:rPr>
          <w:rFonts w:ascii="Arial" w:eastAsia="Arial" w:hAnsi="Arial" w:cs="Arial"/>
          <w:sz w:val="22"/>
          <w:szCs w:val="22"/>
          <w:lang w:val="pt-BR"/>
        </w:rPr>
      </w:pPr>
    </w:p>
    <w:p w14:paraId="1099EB17" w14:textId="77777777" w:rsidR="00A74A4F" w:rsidRDefault="001F5B14">
      <w:pPr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b/>
          <w:color w:val="000000"/>
          <w:sz w:val="22"/>
          <w:szCs w:val="22"/>
          <w:lang w:val="pt-BR"/>
        </w:rPr>
        <w:t>Resultados e discussões:</w:t>
      </w:r>
      <w:r>
        <w:rPr>
          <w:rFonts w:ascii="Arial" w:eastAsia="Arial" w:hAnsi="Arial" w:cs="Arial"/>
          <w:color w:val="FF0000"/>
          <w:sz w:val="22"/>
          <w:szCs w:val="22"/>
          <w:lang w:val="pt-BR"/>
        </w:rPr>
        <w:t xml:space="preserve"> </w:t>
      </w:r>
      <w:r>
        <w:rPr>
          <w:rFonts w:ascii="Arial" w:eastAsia="Arial" w:hAnsi="Arial" w:cs="Arial"/>
          <w:sz w:val="22"/>
          <w:szCs w:val="22"/>
          <w:lang w:val="pt-BR"/>
        </w:rPr>
        <w:t xml:space="preserve">As espécies do gênero </w:t>
      </w:r>
      <w:r>
        <w:rPr>
          <w:rFonts w:ascii="Arial" w:eastAsia="Arial" w:hAnsi="Arial" w:cs="Arial"/>
          <w:i/>
          <w:sz w:val="22"/>
          <w:szCs w:val="22"/>
          <w:lang w:val="pt-BR"/>
        </w:rPr>
        <w:t>Cynodon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(TIFT, JIGG) são bastante utilizadas no estado (Figura 1), tanto cultivadas de forma única como em consórcio com gramíneas anuais de inverno (ANU) aparecendo em 45% das amostras coletadas. Outra espécie bastante frequente foi o capim pioneiro (PION) que cultivado sozinho ou em consórcio foi identificado em 22% das amostras.  De acordo com Mittelmann (2006), o Capim Kurumi (</w:t>
      </w:r>
      <w:r>
        <w:rPr>
          <w:rFonts w:ascii="Arial" w:eastAsia="Arial" w:hAnsi="Arial" w:cs="Arial"/>
          <w:i/>
          <w:sz w:val="22"/>
          <w:szCs w:val="22"/>
          <w:lang w:val="pt-BR"/>
        </w:rPr>
        <w:t>Pennisetum purpureum</w:t>
      </w:r>
      <w:r>
        <w:rPr>
          <w:rFonts w:ascii="Arial" w:eastAsia="Arial" w:hAnsi="Arial" w:cs="Arial"/>
          <w:sz w:val="22"/>
          <w:szCs w:val="22"/>
          <w:lang w:val="pt-BR"/>
        </w:rPr>
        <w:t>), os cultivares Tifton 85 e o Jiggs (</w:t>
      </w:r>
      <w:r>
        <w:rPr>
          <w:rFonts w:ascii="Arial" w:eastAsia="Arial" w:hAnsi="Arial" w:cs="Arial"/>
          <w:i/>
          <w:sz w:val="22"/>
          <w:szCs w:val="22"/>
          <w:lang w:val="pt-BR"/>
        </w:rPr>
        <w:t>Cynodon dactylon</w:t>
      </w:r>
      <w:r>
        <w:rPr>
          <w:rFonts w:ascii="Arial" w:eastAsia="Arial" w:hAnsi="Arial" w:cs="Arial"/>
          <w:sz w:val="22"/>
          <w:szCs w:val="22"/>
          <w:lang w:val="pt-BR"/>
        </w:rPr>
        <w:t>), além do híbrido Missioneira Gigante (</w:t>
      </w:r>
      <w:r>
        <w:rPr>
          <w:rFonts w:ascii="Arial" w:eastAsia="Arial" w:hAnsi="Arial" w:cs="Arial"/>
          <w:i/>
          <w:sz w:val="22"/>
          <w:szCs w:val="22"/>
          <w:lang w:val="pt-BR"/>
        </w:rPr>
        <w:t>Axonopus catharinensis</w:t>
      </w:r>
      <w:r>
        <w:rPr>
          <w:rFonts w:ascii="Arial" w:eastAsia="Arial" w:hAnsi="Arial" w:cs="Arial"/>
          <w:sz w:val="22"/>
          <w:szCs w:val="22"/>
          <w:lang w:val="pt-BR"/>
        </w:rPr>
        <w:t>), apresentam alta produtividade e adaptação para a região Sul do Brasil, sendo boas opções para a produção leiteira.</w:t>
      </w:r>
    </w:p>
    <w:p w14:paraId="7BDC8DBF" w14:textId="77777777" w:rsidR="00A74A4F" w:rsidRDefault="00A74A4F">
      <w:pPr>
        <w:jc w:val="both"/>
        <w:rPr>
          <w:rFonts w:ascii="Arial" w:eastAsia="Arial" w:hAnsi="Arial" w:cs="Arial"/>
          <w:sz w:val="22"/>
          <w:szCs w:val="22"/>
          <w:lang w:val="pt-BR"/>
        </w:rPr>
      </w:pPr>
    </w:p>
    <w:p w14:paraId="5736C1A9" w14:textId="77777777" w:rsidR="00A74A4F" w:rsidRDefault="001F5B14">
      <w:pPr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20C8059" wp14:editId="64A4C034">
            <wp:extent cx="4305935" cy="2559050"/>
            <wp:effectExtent l="0" t="0" r="0" b="0"/>
            <wp:docPr id="1" name="image12.png" descr="Gráf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2.png" descr="Gráfic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0522C" w14:textId="745DE1E2" w:rsidR="00A74A4F" w:rsidRDefault="001F5B14">
      <w:pPr>
        <w:ind w:firstLine="720"/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z w:val="22"/>
          <w:szCs w:val="22"/>
          <w:lang w:val="pt-BR"/>
        </w:rPr>
        <w:t xml:space="preserve">Figura 1 – Frequência das espécies </w:t>
      </w:r>
      <w:r w:rsidR="00531CD6">
        <w:rPr>
          <w:rFonts w:ascii="Arial" w:eastAsia="Arial" w:hAnsi="Arial" w:cs="Arial"/>
          <w:sz w:val="22"/>
          <w:szCs w:val="22"/>
          <w:lang w:val="pt-BR"/>
        </w:rPr>
        <w:t xml:space="preserve">nas amostras </w:t>
      </w:r>
      <w:r>
        <w:rPr>
          <w:rFonts w:ascii="Arial" w:eastAsia="Arial" w:hAnsi="Arial" w:cs="Arial"/>
          <w:sz w:val="22"/>
          <w:szCs w:val="22"/>
          <w:lang w:val="pt-BR"/>
        </w:rPr>
        <w:t>coletadas</w:t>
      </w:r>
    </w:p>
    <w:p w14:paraId="094D63C4" w14:textId="77777777" w:rsidR="00A74A4F" w:rsidRDefault="001F5B14">
      <w:pPr>
        <w:ind w:left="709" w:firstLine="11"/>
        <w:jc w:val="both"/>
        <w:rPr>
          <w:rFonts w:ascii="Arial" w:eastAsia="Arial" w:hAnsi="Arial" w:cs="Arial"/>
          <w:sz w:val="20"/>
          <w:szCs w:val="20"/>
          <w:lang w:val="pt-BR"/>
        </w:rPr>
      </w:pPr>
      <w:r>
        <w:rPr>
          <w:rFonts w:ascii="Arial" w:eastAsia="Arial" w:hAnsi="Arial" w:cs="Arial"/>
          <w:sz w:val="20"/>
          <w:szCs w:val="20"/>
          <w:lang w:val="pt-BR"/>
        </w:rPr>
        <w:t>Onde: ANU= Gramíneas Anuais de Inverno; JIGG= Jiggs; KURU= Capim Kurumi; MISS= Missioneira Gigante; PION= Capim Pioneiro; TIFT= Tifton 85; TREV= Trevo.</w:t>
      </w:r>
    </w:p>
    <w:p w14:paraId="78F8FA64" w14:textId="77777777" w:rsidR="00A74A4F" w:rsidRDefault="00A74A4F">
      <w:pPr>
        <w:ind w:firstLine="720"/>
        <w:jc w:val="both"/>
        <w:rPr>
          <w:rFonts w:ascii="Arial" w:eastAsia="Arial" w:hAnsi="Arial" w:cs="Arial"/>
          <w:sz w:val="22"/>
          <w:szCs w:val="22"/>
          <w:lang w:val="pt-BR"/>
        </w:rPr>
      </w:pPr>
    </w:p>
    <w:p w14:paraId="02AAC445" w14:textId="057B8D44" w:rsidR="00A74A4F" w:rsidRDefault="001F5B14">
      <w:pPr>
        <w:ind w:firstLine="720"/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z w:val="22"/>
          <w:szCs w:val="22"/>
          <w:lang w:val="pt-BR"/>
        </w:rPr>
        <w:t xml:space="preserve">Os valores médios de qualidade encontrados por mesorregião (Tabela 1) surpreendem pelos altos valores de PB e baixos de fibra. </w:t>
      </w:r>
    </w:p>
    <w:p w14:paraId="6C383AF1" w14:textId="77777777" w:rsidR="00A74A4F" w:rsidRDefault="00A74A4F">
      <w:pPr>
        <w:ind w:firstLine="720"/>
        <w:jc w:val="both"/>
        <w:rPr>
          <w:rFonts w:ascii="Arial" w:eastAsia="Arial" w:hAnsi="Arial" w:cs="Arial"/>
          <w:sz w:val="22"/>
          <w:szCs w:val="22"/>
          <w:lang w:val="pt-BR"/>
        </w:rPr>
      </w:pPr>
    </w:p>
    <w:p w14:paraId="443A3261" w14:textId="4093C01F" w:rsidR="00A74A4F" w:rsidRDefault="001F5B14">
      <w:pPr>
        <w:widowControl w:val="0"/>
        <w:jc w:val="both"/>
        <w:rPr>
          <w:rFonts w:ascii="Arial" w:eastAsia="Arial" w:hAnsi="Arial" w:cs="Arial"/>
          <w:b/>
          <w:sz w:val="22"/>
          <w:szCs w:val="22"/>
          <w:lang w:val="pt-BR"/>
        </w:rPr>
      </w:pPr>
      <w:r>
        <w:rPr>
          <w:rFonts w:ascii="Arial" w:eastAsia="Arial" w:hAnsi="Arial" w:cs="Arial"/>
          <w:b/>
          <w:sz w:val="22"/>
          <w:szCs w:val="22"/>
          <w:lang w:val="pt-BR"/>
        </w:rPr>
        <w:t xml:space="preserve">Tabela 1 - Teores médios, mínimos (Mín) e máximos (Máx) de proteína bruta (PB), fibra em detergente ácido (FDA) e fibra em detergente neutro (FDN) por </w:t>
      </w:r>
      <w:r w:rsidR="00C73D0C">
        <w:rPr>
          <w:rFonts w:ascii="Arial" w:eastAsia="Arial" w:hAnsi="Arial" w:cs="Arial"/>
          <w:b/>
          <w:sz w:val="22"/>
          <w:szCs w:val="22"/>
          <w:lang w:val="pt-BR"/>
        </w:rPr>
        <w:t>Mesor</w:t>
      </w:r>
      <w:r>
        <w:rPr>
          <w:rFonts w:ascii="Arial" w:eastAsia="Arial" w:hAnsi="Arial" w:cs="Arial"/>
          <w:b/>
          <w:sz w:val="22"/>
          <w:szCs w:val="22"/>
          <w:lang w:val="pt-BR"/>
        </w:rPr>
        <w:t>região</w:t>
      </w:r>
      <w:r w:rsidR="00C73D0C">
        <w:rPr>
          <w:rFonts w:ascii="Arial" w:eastAsia="Arial" w:hAnsi="Arial" w:cs="Arial"/>
          <w:b/>
          <w:sz w:val="22"/>
          <w:szCs w:val="22"/>
          <w:lang w:val="pt-BR"/>
        </w:rPr>
        <w:t xml:space="preserve"> catarinense</w:t>
      </w:r>
      <w:r>
        <w:rPr>
          <w:rFonts w:ascii="Arial" w:eastAsia="Arial" w:hAnsi="Arial" w:cs="Arial"/>
          <w:b/>
          <w:sz w:val="22"/>
          <w:szCs w:val="22"/>
          <w:lang w:val="pt-BR"/>
        </w:rPr>
        <w:t>.</w:t>
      </w:r>
    </w:p>
    <w:tbl>
      <w:tblPr>
        <w:tblW w:w="907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 w:firstRow="0" w:lastRow="0" w:firstColumn="0" w:lastColumn="0" w:noHBand="1" w:noVBand="1"/>
      </w:tblPr>
      <w:tblGrid>
        <w:gridCol w:w="1781"/>
        <w:gridCol w:w="883"/>
        <w:gridCol w:w="712"/>
        <w:gridCol w:w="712"/>
        <w:gridCol w:w="712"/>
        <w:gridCol w:w="712"/>
        <w:gridCol w:w="712"/>
        <w:gridCol w:w="713"/>
        <w:gridCol w:w="712"/>
        <w:gridCol w:w="712"/>
        <w:gridCol w:w="709"/>
      </w:tblGrid>
      <w:tr w:rsidR="00A74A4F" w14:paraId="267246AF" w14:textId="77777777" w:rsidTr="00871DBA">
        <w:trPr>
          <w:trHeight w:val="195"/>
        </w:trPr>
        <w:tc>
          <w:tcPr>
            <w:tcW w:w="178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B8357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Mesorregiões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A5AC0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84FCB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PB, % da MS</w:t>
            </w:r>
          </w:p>
        </w:tc>
        <w:tc>
          <w:tcPr>
            <w:tcW w:w="213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9E2A2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FDN, % da MS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82A0F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FDA, % da MS</w:t>
            </w:r>
          </w:p>
        </w:tc>
      </w:tr>
      <w:tr w:rsidR="00A74A4F" w14:paraId="4980DDB3" w14:textId="77777777" w:rsidTr="00871DBA">
        <w:trPr>
          <w:trHeight w:val="151"/>
        </w:trPr>
        <w:tc>
          <w:tcPr>
            <w:tcW w:w="1780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E7B1F" w14:textId="77777777" w:rsidR="00A74A4F" w:rsidRDefault="00A74A4F" w:rsidP="00871DBA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61C0C" w14:textId="77777777" w:rsidR="00A74A4F" w:rsidRDefault="00A74A4F" w:rsidP="00871DBA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EAC4A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Mín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441A3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Média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6F13F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Máx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1A800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Mín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6BEA0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Média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BCF0F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Máx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33F37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Mín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CEB1F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Média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4E70E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Máx</w:t>
            </w:r>
          </w:p>
        </w:tc>
      </w:tr>
      <w:tr w:rsidR="00A74A4F" w14:paraId="3A840C51" w14:textId="77777777">
        <w:trPr>
          <w:trHeight w:val="315"/>
        </w:trPr>
        <w:tc>
          <w:tcPr>
            <w:tcW w:w="178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6FC5FF28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AVI*</w:t>
            </w:r>
          </w:p>
        </w:tc>
        <w:tc>
          <w:tcPr>
            <w:tcW w:w="88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DA8749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84</w:t>
            </w:r>
          </w:p>
        </w:tc>
        <w:tc>
          <w:tcPr>
            <w:tcW w:w="71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84C8C5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11,31</w:t>
            </w:r>
          </w:p>
        </w:tc>
        <w:tc>
          <w:tcPr>
            <w:tcW w:w="71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1711D2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20,31</w:t>
            </w:r>
          </w:p>
        </w:tc>
        <w:tc>
          <w:tcPr>
            <w:tcW w:w="71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1380A1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31,82</w:t>
            </w:r>
          </w:p>
        </w:tc>
        <w:tc>
          <w:tcPr>
            <w:tcW w:w="71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3A6413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39,08</w:t>
            </w:r>
          </w:p>
        </w:tc>
        <w:tc>
          <w:tcPr>
            <w:tcW w:w="71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E009A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63,67</w:t>
            </w:r>
          </w:p>
        </w:tc>
        <w:tc>
          <w:tcPr>
            <w:tcW w:w="71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09C34E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75,90</w:t>
            </w:r>
          </w:p>
        </w:tc>
        <w:tc>
          <w:tcPr>
            <w:tcW w:w="71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963304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25,23</w:t>
            </w:r>
          </w:p>
        </w:tc>
        <w:tc>
          <w:tcPr>
            <w:tcW w:w="71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301CAF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33,55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C945B4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41,17</w:t>
            </w:r>
          </w:p>
        </w:tc>
      </w:tr>
      <w:tr w:rsidR="00A74A4F" w14:paraId="62B7E16C" w14:textId="77777777">
        <w:trPr>
          <w:trHeight w:val="315"/>
        </w:trPr>
        <w:tc>
          <w:tcPr>
            <w:tcW w:w="1780" w:type="dxa"/>
            <w:shd w:val="clear" w:color="auto" w:fill="auto"/>
            <w:vAlign w:val="bottom"/>
          </w:tcPr>
          <w:p w14:paraId="76D95810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AVP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B145973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130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6B8392A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10,82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475D66E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21,69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7AFE917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31,25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28DFADC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37,48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BDDAC27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58,46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1222331B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75,08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50F4B9B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15,34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6D44702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31,66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B4FF6D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39,85</w:t>
            </w:r>
          </w:p>
        </w:tc>
      </w:tr>
      <w:tr w:rsidR="00A74A4F" w14:paraId="5EE77B17" w14:textId="77777777">
        <w:trPr>
          <w:trHeight w:val="315"/>
        </w:trPr>
        <w:tc>
          <w:tcPr>
            <w:tcW w:w="1780" w:type="dxa"/>
            <w:shd w:val="clear" w:color="auto" w:fill="auto"/>
            <w:vAlign w:val="bottom"/>
          </w:tcPr>
          <w:p w14:paraId="434FCA7F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EOC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71830F1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92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61A8058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11,43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1BA6DEF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20,22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8184BFB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30,84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727B413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37,49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9341936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59,82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EB8246D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76,16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95A5485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21,42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96953DF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33,09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C37EE2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41,50</w:t>
            </w:r>
          </w:p>
        </w:tc>
      </w:tr>
      <w:tr w:rsidR="00A74A4F" w14:paraId="2E6FA8C7" w14:textId="77777777">
        <w:trPr>
          <w:trHeight w:val="315"/>
        </w:trPr>
        <w:tc>
          <w:tcPr>
            <w:tcW w:w="1780" w:type="dxa"/>
            <w:shd w:val="clear" w:color="auto" w:fill="auto"/>
            <w:vAlign w:val="bottom"/>
          </w:tcPr>
          <w:p w14:paraId="716A1D22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LSC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EECA441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76611AE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8,87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1C0FF4E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14,20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40F0491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23,54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F2EEF1D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58,36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6980D78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63,56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12497795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67,78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77D5171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31,92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DAA2C61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37,86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752DEC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44,00</w:t>
            </w:r>
          </w:p>
        </w:tc>
      </w:tr>
      <w:tr w:rsidR="00A74A4F" w14:paraId="1EED0801" w14:textId="77777777">
        <w:trPr>
          <w:trHeight w:val="315"/>
        </w:trPr>
        <w:tc>
          <w:tcPr>
            <w:tcW w:w="1780" w:type="dxa"/>
            <w:shd w:val="clear" w:color="auto" w:fill="auto"/>
            <w:vAlign w:val="bottom"/>
          </w:tcPr>
          <w:p w14:paraId="0CAA9F4E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MOC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8AE31FB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DC017F8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9,26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D6437E5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18,95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8C12BE0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34,01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5BD0890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42,24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FFE7480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59,89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7FC81376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82,85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99F8237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23,10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75344A2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33,34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7CCDBA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40,22</w:t>
            </w:r>
          </w:p>
        </w:tc>
      </w:tr>
      <w:tr w:rsidR="00A74A4F" w14:paraId="54111DF1" w14:textId="77777777">
        <w:trPr>
          <w:trHeight w:val="315"/>
        </w:trPr>
        <w:tc>
          <w:tcPr>
            <w:tcW w:w="1780" w:type="dxa"/>
            <w:shd w:val="clear" w:color="auto" w:fill="auto"/>
            <w:vAlign w:val="bottom"/>
          </w:tcPr>
          <w:p w14:paraId="0658C105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OC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15F18834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125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E02ECE2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8,39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1468A93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21,56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A3ECF3F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29,57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6A14CF3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36,71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511D9F0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58,08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68E28B3D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76,83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6048A73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20,43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7403380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31,49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04612F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44,24</w:t>
            </w:r>
          </w:p>
        </w:tc>
      </w:tr>
      <w:tr w:rsidR="00A74A4F" w14:paraId="6B7B79F7" w14:textId="77777777">
        <w:trPr>
          <w:trHeight w:val="315"/>
        </w:trPr>
        <w:tc>
          <w:tcPr>
            <w:tcW w:w="17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FB68689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PNC</w:t>
            </w:r>
          </w:p>
        </w:tc>
        <w:tc>
          <w:tcPr>
            <w:tcW w:w="88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540366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7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131A6D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12,49</w:t>
            </w:r>
          </w:p>
        </w:tc>
        <w:tc>
          <w:tcPr>
            <w:tcW w:w="7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98E2E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18,32</w:t>
            </w:r>
          </w:p>
        </w:tc>
        <w:tc>
          <w:tcPr>
            <w:tcW w:w="7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005899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23,65</w:t>
            </w:r>
          </w:p>
        </w:tc>
        <w:tc>
          <w:tcPr>
            <w:tcW w:w="7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53AFE9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54,10</w:t>
            </w:r>
          </w:p>
        </w:tc>
        <w:tc>
          <w:tcPr>
            <w:tcW w:w="7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905EAD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59,52</w:t>
            </w: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8CF54D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67,64</w:t>
            </w:r>
          </w:p>
        </w:tc>
        <w:tc>
          <w:tcPr>
            <w:tcW w:w="7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AB7EE2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30,65</w:t>
            </w:r>
          </w:p>
        </w:tc>
        <w:tc>
          <w:tcPr>
            <w:tcW w:w="7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2FA43A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34,81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BC3649" w14:textId="77777777" w:rsidR="00A74A4F" w:rsidRDefault="001F5B14" w:rsidP="00871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41,13</w:t>
            </w:r>
          </w:p>
        </w:tc>
      </w:tr>
    </w:tbl>
    <w:p w14:paraId="7B02E4B3" w14:textId="77777777" w:rsidR="00A74A4F" w:rsidRDefault="001F5B14">
      <w:pPr>
        <w:jc w:val="both"/>
        <w:rPr>
          <w:rFonts w:ascii="Arial" w:eastAsia="Arial" w:hAnsi="Arial" w:cs="Arial"/>
          <w:sz w:val="20"/>
          <w:szCs w:val="20"/>
          <w:lang w:val="pt-BR"/>
        </w:rPr>
      </w:pPr>
      <w:r>
        <w:rPr>
          <w:rFonts w:ascii="Arial" w:eastAsia="Arial" w:hAnsi="Arial" w:cs="Arial"/>
          <w:sz w:val="20"/>
          <w:szCs w:val="20"/>
          <w:lang w:val="pt-BR"/>
        </w:rPr>
        <w:t>*AVI - Alto Vale do Itajaí. AVP - Alto Vale do Rio do Peixe. EOC - Extremo Oeste Catarinense. LSC - Litoral Sul Catarinense. MOC - Meio Oeste Catarinense. OC - Oeste Catarinense. PNC - Planalto Norte Catarinense. N - Número de amostras.</w:t>
      </w:r>
    </w:p>
    <w:p w14:paraId="390C9D7D" w14:textId="77777777" w:rsidR="00A74A4F" w:rsidRDefault="00A74A4F">
      <w:pPr>
        <w:ind w:firstLine="720"/>
        <w:rPr>
          <w:rFonts w:ascii="Arial" w:eastAsia="Arial" w:hAnsi="Arial" w:cs="Arial"/>
          <w:sz w:val="22"/>
          <w:szCs w:val="22"/>
          <w:lang w:val="pt-BR"/>
        </w:rPr>
      </w:pPr>
    </w:p>
    <w:p w14:paraId="3402A4FE" w14:textId="6AB3B7EF" w:rsidR="00A74A4F" w:rsidRDefault="00871DBA">
      <w:pPr>
        <w:ind w:firstLine="720"/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z w:val="22"/>
          <w:szCs w:val="22"/>
          <w:lang w:val="pt-BR"/>
        </w:rPr>
        <w:t>Os teores médios de PB ficaram acima de 20% para a maior parte das mesorregiões. Ainda assim, o menor valor médio encontrado para PB no litoral Sul foi de 14,2%, com máximo de 23,54%.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1F5B14">
        <w:rPr>
          <w:rFonts w:ascii="Arial" w:eastAsia="Arial" w:hAnsi="Arial" w:cs="Arial"/>
          <w:sz w:val="22"/>
          <w:szCs w:val="22"/>
          <w:lang w:val="pt-BR"/>
        </w:rPr>
        <w:t xml:space="preserve">Quando analisadas as médias por estação (Tabela 2) percebe-se que a utilização das espécies temperadas de inverno em sobressemeadura favorece o aumento da qualidade. O Outono foi a estação com menor média de PB, 18,5%, estação considerada a entressafra da produção de pastagens. No entanto, é importante ressaltar que, em todas as estações, a média de PB da pastagem ficou acima de 18%, valor superior ao exigido para vacas em lactação (NASEM, 2021). </w:t>
      </w:r>
    </w:p>
    <w:p w14:paraId="64808348" w14:textId="77777777" w:rsidR="00A74A4F" w:rsidRDefault="00A74A4F">
      <w:pPr>
        <w:ind w:firstLine="720"/>
        <w:rPr>
          <w:rFonts w:ascii="Arial" w:eastAsia="Arial" w:hAnsi="Arial" w:cs="Arial"/>
          <w:sz w:val="22"/>
          <w:szCs w:val="22"/>
          <w:lang w:val="pt-BR"/>
        </w:rPr>
      </w:pPr>
    </w:p>
    <w:p w14:paraId="31394749" w14:textId="33CCD65A" w:rsidR="00A74A4F" w:rsidRDefault="001F5B14">
      <w:pPr>
        <w:widowControl w:val="0"/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b/>
          <w:sz w:val="22"/>
          <w:szCs w:val="22"/>
          <w:lang w:val="pt-BR"/>
        </w:rPr>
        <w:t>Tabela 2 - Teores médios, mínimos (Mín) e máximos (Máx) de proteína bruta (PB), fibra em detergente ácido (FDA) e fibra em detergente neutro (FDN) por estação</w:t>
      </w:r>
      <w:r w:rsidR="0076171E">
        <w:rPr>
          <w:rFonts w:ascii="Arial" w:eastAsia="Arial" w:hAnsi="Arial" w:cs="Arial"/>
          <w:b/>
          <w:sz w:val="22"/>
          <w:szCs w:val="22"/>
          <w:lang w:val="pt-BR"/>
        </w:rPr>
        <w:t xml:space="preserve"> do ano</w:t>
      </w:r>
      <w:r w:rsidR="00871DBA">
        <w:rPr>
          <w:rFonts w:ascii="Arial" w:eastAsia="Arial" w:hAnsi="Arial" w:cs="Arial"/>
          <w:b/>
          <w:sz w:val="22"/>
          <w:szCs w:val="22"/>
          <w:lang w:val="pt-BR"/>
        </w:rPr>
        <w:t>.</w:t>
      </w:r>
    </w:p>
    <w:tbl>
      <w:tblPr>
        <w:tblW w:w="9214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551"/>
        <w:gridCol w:w="170"/>
        <w:gridCol w:w="1940"/>
        <w:gridCol w:w="117"/>
        <w:gridCol w:w="2112"/>
        <w:gridCol w:w="118"/>
        <w:gridCol w:w="2206"/>
      </w:tblGrid>
      <w:tr w:rsidR="00A74A4F" w14:paraId="7460808B" w14:textId="77777777" w:rsidTr="00871DBA">
        <w:trPr>
          <w:trHeight w:val="405"/>
        </w:trPr>
        <w:tc>
          <w:tcPr>
            <w:tcW w:w="255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708518" w14:textId="7B446564" w:rsidR="00A74A4F" w:rsidRDefault="001F5B14" w:rsidP="00871DBA">
            <w:pPr>
              <w:pStyle w:val="NormalWeb"/>
              <w:widowControl w:val="0"/>
              <w:shd w:val="clear" w:color="auto" w:fill="FFFFFF"/>
              <w:spacing w:before="40" w:beforeAutospacing="0" w:after="40" w:afterAutospacing="0"/>
              <w:ind w:left="-8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Estação</w:t>
            </w:r>
            <w:r w:rsidR="007617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do ano</w:t>
            </w:r>
          </w:p>
        </w:tc>
        <w:tc>
          <w:tcPr>
            <w:tcW w:w="170" w:type="dxa"/>
            <w:tcBorders>
              <w:top w:val="single" w:sz="4" w:space="0" w:color="000000"/>
            </w:tcBorders>
          </w:tcPr>
          <w:p w14:paraId="60AEF828" w14:textId="77777777" w:rsidR="00A74A4F" w:rsidRDefault="00A74A4F">
            <w:pPr>
              <w:pStyle w:val="NormalWeb"/>
              <w:widowControl w:val="0"/>
              <w:shd w:val="clear" w:color="auto" w:fill="FFFFFF"/>
              <w:spacing w:beforeAutospacing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</w:tcBorders>
          </w:tcPr>
          <w:p w14:paraId="3372FBE9" w14:textId="77777777" w:rsidR="00A74A4F" w:rsidRDefault="001F5B14">
            <w:pPr>
              <w:pStyle w:val="NormalWeb"/>
              <w:widowControl w:val="0"/>
              <w:shd w:val="clear" w:color="auto" w:fill="FFFFFF"/>
              <w:spacing w:before="40" w:beforeAutospacing="0" w:after="40" w:afterAutospacing="0"/>
              <w:ind w:left="-8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PB, % da MS</w:t>
            </w:r>
          </w:p>
        </w:tc>
        <w:tc>
          <w:tcPr>
            <w:tcW w:w="117" w:type="dxa"/>
            <w:tcBorders>
              <w:top w:val="single" w:sz="4" w:space="0" w:color="000000"/>
            </w:tcBorders>
          </w:tcPr>
          <w:p w14:paraId="5D36EA44" w14:textId="77777777" w:rsidR="00A74A4F" w:rsidRDefault="00A74A4F">
            <w:pPr>
              <w:pStyle w:val="NormalWeb"/>
              <w:widowControl w:val="0"/>
              <w:shd w:val="clear" w:color="auto" w:fill="FFFFFF"/>
              <w:spacing w:beforeAutospacing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000000"/>
              <w:bottom w:val="single" w:sz="4" w:space="0" w:color="000000"/>
            </w:tcBorders>
          </w:tcPr>
          <w:p w14:paraId="1EC61DA1" w14:textId="77777777" w:rsidR="00A74A4F" w:rsidRDefault="001F5B14">
            <w:pPr>
              <w:pStyle w:val="NormalWeb"/>
              <w:widowControl w:val="0"/>
              <w:shd w:val="clear" w:color="auto" w:fill="FFFFFF"/>
              <w:spacing w:before="40" w:beforeAutospacing="0" w:after="40" w:afterAutospacing="0"/>
              <w:ind w:left="-8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FDA, % da MS</w:t>
            </w:r>
          </w:p>
        </w:tc>
        <w:tc>
          <w:tcPr>
            <w:tcW w:w="118" w:type="dxa"/>
            <w:tcBorders>
              <w:top w:val="single" w:sz="4" w:space="0" w:color="000000"/>
            </w:tcBorders>
          </w:tcPr>
          <w:p w14:paraId="316B64AF" w14:textId="77777777" w:rsidR="00A74A4F" w:rsidRDefault="00A74A4F">
            <w:pPr>
              <w:pStyle w:val="NormalWeb"/>
              <w:widowControl w:val="0"/>
              <w:shd w:val="clear" w:color="auto" w:fill="FFFFFF"/>
              <w:spacing w:beforeAutospacing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bottom w:val="single" w:sz="4" w:space="0" w:color="000000"/>
            </w:tcBorders>
          </w:tcPr>
          <w:p w14:paraId="00025416" w14:textId="77777777" w:rsidR="00A74A4F" w:rsidRDefault="001F5B14">
            <w:pPr>
              <w:pStyle w:val="NormalWeb"/>
              <w:widowControl w:val="0"/>
              <w:shd w:val="clear" w:color="auto" w:fill="FFFFFF"/>
              <w:spacing w:before="40" w:beforeAutospacing="0" w:after="40" w:afterAutospacing="0"/>
              <w:ind w:left="-8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FDN, % da MS</w:t>
            </w:r>
          </w:p>
        </w:tc>
      </w:tr>
      <w:tr w:rsidR="00A74A4F" w14:paraId="1166A20D" w14:textId="77777777" w:rsidTr="00871DBA">
        <w:trPr>
          <w:trHeight w:val="242"/>
        </w:trPr>
        <w:tc>
          <w:tcPr>
            <w:tcW w:w="2551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04950" w14:textId="77777777" w:rsidR="00A74A4F" w:rsidRDefault="00A74A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bottom w:val="single" w:sz="4" w:space="0" w:color="000000"/>
            </w:tcBorders>
          </w:tcPr>
          <w:p w14:paraId="18794A39" w14:textId="77777777" w:rsidR="00A74A4F" w:rsidRDefault="00A74A4F">
            <w:pPr>
              <w:pStyle w:val="NormalWeb"/>
              <w:widowControl w:val="0"/>
              <w:shd w:val="clear" w:color="auto" w:fill="FFFFFF"/>
              <w:spacing w:beforeAutospacing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6493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00211D1D" w14:textId="77777777" w:rsidR="00A74A4F" w:rsidRDefault="001F5B14">
            <w:pPr>
              <w:pStyle w:val="NormalWeb"/>
              <w:widowControl w:val="0"/>
              <w:shd w:val="clear" w:color="auto" w:fill="FFFFFF"/>
              <w:spacing w:before="40" w:beforeAutospacing="0" w:afterAutospacing="0"/>
              <w:ind w:left="-8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Média (Min –Max)</w:t>
            </w:r>
          </w:p>
        </w:tc>
      </w:tr>
      <w:tr w:rsidR="00A74A4F" w14:paraId="30FDA0ED" w14:textId="77777777" w:rsidTr="00871DBA">
        <w:trPr>
          <w:trHeight w:val="465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29638F43" w14:textId="77777777" w:rsidR="00A74A4F" w:rsidRDefault="001F5B14">
            <w:pPr>
              <w:pStyle w:val="NormalWeb"/>
              <w:widowControl w:val="0"/>
              <w:shd w:val="clear" w:color="auto" w:fill="FFFFFF"/>
              <w:spacing w:before="40" w:beforeAutospacing="0" w:after="40" w:afterAutospacing="0"/>
              <w:ind w:left="-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Outono (n=72)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4" w:space="0" w:color="000000"/>
            </w:tcBorders>
          </w:tcPr>
          <w:p w14:paraId="6B7BCA92" w14:textId="77777777" w:rsidR="00A74A4F" w:rsidRDefault="00A74A4F">
            <w:pPr>
              <w:pStyle w:val="NormalWeb"/>
              <w:widowControl w:val="0"/>
              <w:shd w:val="clear" w:color="auto" w:fill="FFFFFF"/>
              <w:spacing w:beforeAutospacing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</w:tcBorders>
          </w:tcPr>
          <w:p w14:paraId="07172F2A" w14:textId="77777777" w:rsidR="00A74A4F" w:rsidRDefault="001F5B14">
            <w:pPr>
              <w:pStyle w:val="NormalWeb"/>
              <w:widowControl w:val="0"/>
              <w:shd w:val="clear" w:color="auto" w:fill="FFFFFF"/>
              <w:spacing w:before="40" w:beforeAutospacing="0" w:afterAutospacing="0"/>
              <w:ind w:left="-8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 (8,9-31,3)</w:t>
            </w:r>
          </w:p>
        </w:tc>
        <w:tc>
          <w:tcPr>
            <w:tcW w:w="117" w:type="dxa"/>
            <w:tcBorders>
              <w:top w:val="single" w:sz="4" w:space="0" w:color="000000"/>
              <w:bottom w:val="single" w:sz="4" w:space="0" w:color="000000"/>
            </w:tcBorders>
          </w:tcPr>
          <w:p w14:paraId="1F7915EF" w14:textId="77777777" w:rsidR="00A74A4F" w:rsidRDefault="00A74A4F">
            <w:pPr>
              <w:pStyle w:val="NormalWeb"/>
              <w:widowControl w:val="0"/>
              <w:shd w:val="clear" w:color="auto" w:fill="FFFFFF"/>
              <w:spacing w:beforeAutospacing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000000"/>
              <w:bottom w:val="single" w:sz="4" w:space="0" w:color="000000"/>
            </w:tcBorders>
          </w:tcPr>
          <w:p w14:paraId="034B23BB" w14:textId="77777777" w:rsidR="00A74A4F" w:rsidRDefault="001F5B14">
            <w:pPr>
              <w:pStyle w:val="NormalWeb"/>
              <w:widowControl w:val="0"/>
              <w:shd w:val="clear" w:color="auto" w:fill="FFFFFF"/>
              <w:spacing w:before="40" w:beforeAutospacing="0" w:afterAutospacing="0"/>
              <w:ind w:left="-8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35,2 (15,3-44,0)</w:t>
            </w:r>
          </w:p>
        </w:tc>
        <w:tc>
          <w:tcPr>
            <w:tcW w:w="118" w:type="dxa"/>
            <w:tcBorders>
              <w:top w:val="single" w:sz="4" w:space="0" w:color="000000"/>
              <w:bottom w:val="single" w:sz="4" w:space="0" w:color="000000"/>
            </w:tcBorders>
          </w:tcPr>
          <w:p w14:paraId="74A66F5C" w14:textId="77777777" w:rsidR="00A74A4F" w:rsidRDefault="00A74A4F">
            <w:pPr>
              <w:pStyle w:val="NormalWeb"/>
              <w:widowControl w:val="0"/>
              <w:shd w:val="clear" w:color="auto" w:fill="FFFFFF"/>
              <w:spacing w:beforeAutospacing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bottom w:val="single" w:sz="4" w:space="0" w:color="000000"/>
            </w:tcBorders>
          </w:tcPr>
          <w:p w14:paraId="300AFFA1" w14:textId="77777777" w:rsidR="00A74A4F" w:rsidRDefault="001F5B14">
            <w:pPr>
              <w:pStyle w:val="NormalWeb"/>
              <w:widowControl w:val="0"/>
              <w:shd w:val="clear" w:color="auto" w:fill="FFFFFF"/>
              <w:spacing w:before="40" w:beforeAutospacing="0" w:afterAutospacing="0"/>
              <w:ind w:left="-8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61,6 (37,5-76,8)</w:t>
            </w:r>
          </w:p>
        </w:tc>
      </w:tr>
      <w:tr w:rsidR="00A74A4F" w14:paraId="29E8AC8D" w14:textId="77777777" w:rsidTr="00871DBA">
        <w:trPr>
          <w:trHeight w:val="430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0D136AFC" w14:textId="77777777" w:rsidR="00A74A4F" w:rsidRDefault="001F5B14">
            <w:pPr>
              <w:pStyle w:val="NormalWeb"/>
              <w:widowControl w:val="0"/>
              <w:shd w:val="clear" w:color="auto" w:fill="FFFFFF"/>
              <w:spacing w:before="40" w:beforeAutospacing="0" w:after="40" w:afterAutospacing="0"/>
              <w:ind w:left="-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Inverno (n=154)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4" w:space="0" w:color="000000"/>
            </w:tcBorders>
          </w:tcPr>
          <w:p w14:paraId="3CFBF294" w14:textId="77777777" w:rsidR="00A74A4F" w:rsidRDefault="00A74A4F">
            <w:pPr>
              <w:pStyle w:val="NormalWeb"/>
              <w:widowControl w:val="0"/>
              <w:shd w:val="clear" w:color="auto" w:fill="FFFFFF"/>
              <w:spacing w:beforeAutospacing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</w:tcBorders>
          </w:tcPr>
          <w:p w14:paraId="2895F7FA" w14:textId="77777777" w:rsidR="00A74A4F" w:rsidRDefault="001F5B14">
            <w:pPr>
              <w:pStyle w:val="NormalWeb"/>
              <w:widowControl w:val="0"/>
              <w:shd w:val="clear" w:color="auto" w:fill="FFFFFF"/>
              <w:spacing w:before="40" w:beforeAutospacing="0" w:afterAutospacing="0"/>
              <w:ind w:left="-8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23,7 (10,5-34,0)</w:t>
            </w:r>
          </w:p>
        </w:tc>
        <w:tc>
          <w:tcPr>
            <w:tcW w:w="117" w:type="dxa"/>
            <w:tcBorders>
              <w:top w:val="single" w:sz="4" w:space="0" w:color="000000"/>
              <w:bottom w:val="single" w:sz="4" w:space="0" w:color="000000"/>
            </w:tcBorders>
          </w:tcPr>
          <w:p w14:paraId="1C56EDFE" w14:textId="77777777" w:rsidR="00A74A4F" w:rsidRDefault="00A74A4F">
            <w:pPr>
              <w:pStyle w:val="NormalWeb"/>
              <w:widowControl w:val="0"/>
              <w:shd w:val="clear" w:color="auto" w:fill="FFFFFF"/>
              <w:spacing w:beforeAutospacing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000000"/>
              <w:bottom w:val="single" w:sz="4" w:space="0" w:color="000000"/>
            </w:tcBorders>
          </w:tcPr>
          <w:p w14:paraId="4DF4D747" w14:textId="77777777" w:rsidR="00A74A4F" w:rsidRDefault="001F5B14">
            <w:pPr>
              <w:pStyle w:val="NormalWeb"/>
              <w:widowControl w:val="0"/>
              <w:shd w:val="clear" w:color="auto" w:fill="FFFFFF"/>
              <w:spacing w:before="40" w:beforeAutospacing="0" w:afterAutospacing="0"/>
              <w:ind w:left="-8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28,2 (20,4-39,0)</w:t>
            </w:r>
          </w:p>
        </w:tc>
        <w:tc>
          <w:tcPr>
            <w:tcW w:w="118" w:type="dxa"/>
            <w:tcBorders>
              <w:top w:val="single" w:sz="4" w:space="0" w:color="000000"/>
              <w:bottom w:val="single" w:sz="4" w:space="0" w:color="000000"/>
            </w:tcBorders>
          </w:tcPr>
          <w:p w14:paraId="44F3ACDD" w14:textId="77777777" w:rsidR="00A74A4F" w:rsidRDefault="00A74A4F">
            <w:pPr>
              <w:pStyle w:val="NormalWeb"/>
              <w:widowControl w:val="0"/>
              <w:shd w:val="clear" w:color="auto" w:fill="FFFFFF"/>
              <w:spacing w:beforeAutospacing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bottom w:val="single" w:sz="4" w:space="0" w:color="000000"/>
            </w:tcBorders>
          </w:tcPr>
          <w:p w14:paraId="533B6D9B" w14:textId="77777777" w:rsidR="00A74A4F" w:rsidRDefault="001F5B14">
            <w:pPr>
              <w:pStyle w:val="NormalWeb"/>
              <w:widowControl w:val="0"/>
              <w:shd w:val="clear" w:color="auto" w:fill="FFFFFF"/>
              <w:spacing w:before="40" w:beforeAutospacing="0" w:afterAutospacing="0"/>
              <w:ind w:left="-8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50,7 (36,7-71,2)</w:t>
            </w:r>
          </w:p>
        </w:tc>
      </w:tr>
      <w:tr w:rsidR="00A74A4F" w14:paraId="1D6279F7" w14:textId="77777777" w:rsidTr="00871DBA">
        <w:trPr>
          <w:trHeight w:val="427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E305D82" w14:textId="77777777" w:rsidR="00A74A4F" w:rsidRDefault="001F5B14">
            <w:pPr>
              <w:pStyle w:val="NormalWeb"/>
              <w:widowControl w:val="0"/>
              <w:shd w:val="clear" w:color="auto" w:fill="FFFFFF"/>
              <w:spacing w:before="40" w:beforeAutospacing="0" w:after="40" w:afterAutospacing="0"/>
              <w:ind w:left="-8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Verão (n=113)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4" w:space="0" w:color="000000"/>
            </w:tcBorders>
          </w:tcPr>
          <w:p w14:paraId="00803E97" w14:textId="77777777" w:rsidR="00A74A4F" w:rsidRDefault="001F5B14">
            <w:pPr>
              <w:pStyle w:val="NormalWeb"/>
              <w:widowControl w:val="0"/>
              <w:shd w:val="clear" w:color="auto" w:fill="FFFFFF"/>
              <w:spacing w:before="40" w:beforeAutospacing="0" w:after="40" w:afterAutospacing="0"/>
              <w:ind w:left="-8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</w:tcBorders>
          </w:tcPr>
          <w:p w14:paraId="52EDCBB8" w14:textId="77777777" w:rsidR="00A74A4F" w:rsidRDefault="001F5B14">
            <w:pPr>
              <w:pStyle w:val="NormalWeb"/>
              <w:widowControl w:val="0"/>
              <w:shd w:val="clear" w:color="auto" w:fill="FFFFFF"/>
              <w:spacing w:before="40" w:beforeAutospacing="0" w:afterAutospacing="0"/>
              <w:ind w:left="-8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18,5 (8,6-26,1)  </w:t>
            </w:r>
          </w:p>
        </w:tc>
        <w:tc>
          <w:tcPr>
            <w:tcW w:w="117" w:type="dxa"/>
            <w:tcBorders>
              <w:top w:val="single" w:sz="4" w:space="0" w:color="000000"/>
              <w:bottom w:val="single" w:sz="4" w:space="0" w:color="000000"/>
            </w:tcBorders>
          </w:tcPr>
          <w:p w14:paraId="07AD39C6" w14:textId="77777777" w:rsidR="00A74A4F" w:rsidRDefault="001F5B14">
            <w:pPr>
              <w:pStyle w:val="NormalWeb"/>
              <w:widowControl w:val="0"/>
              <w:shd w:val="clear" w:color="auto" w:fill="FFFFFF"/>
              <w:spacing w:before="40" w:beforeAutospacing="0" w:after="40" w:afterAutospacing="0"/>
              <w:ind w:left="-8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2" w:type="dxa"/>
            <w:tcBorders>
              <w:top w:val="single" w:sz="4" w:space="0" w:color="000000"/>
              <w:bottom w:val="single" w:sz="4" w:space="0" w:color="000000"/>
            </w:tcBorders>
          </w:tcPr>
          <w:p w14:paraId="1B8E1D66" w14:textId="77777777" w:rsidR="00A74A4F" w:rsidRDefault="001F5B14">
            <w:pPr>
              <w:pStyle w:val="NormalWeb"/>
              <w:widowControl w:val="0"/>
              <w:shd w:val="clear" w:color="auto" w:fill="FFFFFF"/>
              <w:spacing w:before="40" w:beforeAutospacing="0" w:afterAutospacing="0"/>
              <w:ind w:left="-8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35,7  (30,2-44,2)  </w:t>
            </w:r>
          </w:p>
        </w:tc>
        <w:tc>
          <w:tcPr>
            <w:tcW w:w="118" w:type="dxa"/>
            <w:tcBorders>
              <w:top w:val="single" w:sz="4" w:space="0" w:color="000000"/>
              <w:bottom w:val="single" w:sz="4" w:space="0" w:color="000000"/>
            </w:tcBorders>
          </w:tcPr>
          <w:p w14:paraId="360A9BEF" w14:textId="77777777" w:rsidR="00A74A4F" w:rsidRDefault="001F5B14">
            <w:pPr>
              <w:pStyle w:val="NormalWeb"/>
              <w:widowControl w:val="0"/>
              <w:shd w:val="clear" w:color="auto" w:fill="FFFFFF"/>
              <w:spacing w:before="40" w:beforeAutospacing="0" w:after="40" w:afterAutospacing="0"/>
              <w:ind w:left="-8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bottom w:val="single" w:sz="4" w:space="0" w:color="000000"/>
            </w:tcBorders>
          </w:tcPr>
          <w:p w14:paraId="500CFD69" w14:textId="77777777" w:rsidR="00A74A4F" w:rsidRDefault="001F5B14">
            <w:pPr>
              <w:pStyle w:val="NormalWeb"/>
              <w:widowControl w:val="0"/>
              <w:shd w:val="clear" w:color="auto" w:fill="FFFFFF"/>
              <w:spacing w:before="40" w:beforeAutospacing="0" w:afterAutospacing="0"/>
              <w:ind w:left="-8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66,7 (55,1-76,5)  </w:t>
            </w:r>
          </w:p>
        </w:tc>
      </w:tr>
      <w:tr w:rsidR="00A74A4F" w14:paraId="59822B32" w14:textId="77777777" w:rsidTr="00871DBA">
        <w:trPr>
          <w:trHeight w:val="377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65EDC3E2" w14:textId="77777777" w:rsidR="00A74A4F" w:rsidRDefault="001F5B14">
            <w:pPr>
              <w:pStyle w:val="NormalWeb"/>
              <w:widowControl w:val="0"/>
              <w:shd w:val="clear" w:color="auto" w:fill="FFFFFF"/>
              <w:spacing w:before="40" w:beforeAutospacing="0" w:after="40" w:afterAutospacing="0"/>
              <w:ind w:left="-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Primavera (n=156)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4" w:space="0" w:color="000000"/>
            </w:tcBorders>
          </w:tcPr>
          <w:p w14:paraId="6D80960E" w14:textId="77777777" w:rsidR="00A74A4F" w:rsidRDefault="001F5B14">
            <w:pPr>
              <w:pStyle w:val="NormalWeb"/>
              <w:widowControl w:val="0"/>
              <w:shd w:val="clear" w:color="auto" w:fill="FFFFFF"/>
              <w:spacing w:before="40" w:beforeAutospacing="0" w:after="40" w:afterAutospacing="0"/>
              <w:ind w:left="-8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</w:tcBorders>
          </w:tcPr>
          <w:p w14:paraId="790998EF" w14:textId="77777777" w:rsidR="00A74A4F" w:rsidRDefault="001F5B14">
            <w:pPr>
              <w:pStyle w:val="NormalWeb"/>
              <w:widowControl w:val="0"/>
              <w:shd w:val="clear" w:color="auto" w:fill="FFFFFF"/>
              <w:spacing w:before="40" w:beforeAutospacing="0" w:afterAutospacing="0"/>
              <w:ind w:left="-8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20,2 (8,4-27,2) </w:t>
            </w:r>
          </w:p>
        </w:tc>
        <w:tc>
          <w:tcPr>
            <w:tcW w:w="117" w:type="dxa"/>
            <w:tcBorders>
              <w:top w:val="single" w:sz="4" w:space="0" w:color="000000"/>
              <w:bottom w:val="single" w:sz="4" w:space="0" w:color="000000"/>
            </w:tcBorders>
          </w:tcPr>
          <w:p w14:paraId="003D00CA" w14:textId="77777777" w:rsidR="00A74A4F" w:rsidRDefault="001F5B14">
            <w:pPr>
              <w:pStyle w:val="NormalWeb"/>
              <w:widowControl w:val="0"/>
              <w:shd w:val="clear" w:color="auto" w:fill="FFFFFF"/>
              <w:spacing w:before="40" w:beforeAutospacing="0" w:after="40" w:afterAutospacing="0"/>
              <w:ind w:left="-8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2" w:type="dxa"/>
            <w:tcBorders>
              <w:top w:val="single" w:sz="4" w:space="0" w:color="000000"/>
              <w:bottom w:val="single" w:sz="4" w:space="0" w:color="000000"/>
            </w:tcBorders>
          </w:tcPr>
          <w:p w14:paraId="3F53F184" w14:textId="77777777" w:rsidR="00A74A4F" w:rsidRDefault="001F5B14">
            <w:pPr>
              <w:pStyle w:val="NormalWeb"/>
              <w:widowControl w:val="0"/>
              <w:shd w:val="clear" w:color="auto" w:fill="FFFFFF"/>
              <w:spacing w:before="40" w:beforeAutospacing="0" w:afterAutospacing="0"/>
              <w:ind w:left="-8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33,5 (26,9-41,6)  </w:t>
            </w:r>
          </w:p>
        </w:tc>
        <w:tc>
          <w:tcPr>
            <w:tcW w:w="118" w:type="dxa"/>
            <w:tcBorders>
              <w:top w:val="single" w:sz="4" w:space="0" w:color="000000"/>
              <w:bottom w:val="single" w:sz="4" w:space="0" w:color="000000"/>
            </w:tcBorders>
          </w:tcPr>
          <w:p w14:paraId="12652E46" w14:textId="77777777" w:rsidR="00A74A4F" w:rsidRDefault="001F5B14">
            <w:pPr>
              <w:pStyle w:val="NormalWeb"/>
              <w:widowControl w:val="0"/>
              <w:shd w:val="clear" w:color="auto" w:fill="FFFFFF"/>
              <w:spacing w:before="40" w:beforeAutospacing="0" w:after="40" w:afterAutospacing="0"/>
              <w:ind w:left="-8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bottom w:val="single" w:sz="4" w:space="0" w:color="000000"/>
            </w:tcBorders>
          </w:tcPr>
          <w:p w14:paraId="4EACE2B5" w14:textId="77777777" w:rsidR="00A74A4F" w:rsidRDefault="001F5B14">
            <w:pPr>
              <w:pStyle w:val="NormalWeb"/>
              <w:widowControl w:val="0"/>
              <w:shd w:val="clear" w:color="auto" w:fill="FFFFFF"/>
              <w:spacing w:before="40" w:beforeAutospacing="0" w:afterAutospacing="0"/>
              <w:ind w:left="-8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62,7  (46,6-82,9)  </w:t>
            </w:r>
          </w:p>
        </w:tc>
      </w:tr>
    </w:tbl>
    <w:p w14:paraId="71BFF726" w14:textId="77777777" w:rsidR="00A74A4F" w:rsidRDefault="00A74A4F">
      <w:pPr>
        <w:ind w:firstLine="720"/>
        <w:jc w:val="both"/>
        <w:rPr>
          <w:rFonts w:ascii="Arial" w:eastAsia="Arial" w:hAnsi="Arial" w:cs="Arial"/>
          <w:sz w:val="22"/>
          <w:szCs w:val="22"/>
          <w:lang w:val="pt-BR"/>
        </w:rPr>
      </w:pPr>
    </w:p>
    <w:p w14:paraId="6C7972C6" w14:textId="33AA5F18" w:rsidR="00A74A4F" w:rsidRDefault="001F5B14">
      <w:pPr>
        <w:ind w:firstLine="720"/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z w:val="22"/>
          <w:szCs w:val="22"/>
          <w:lang w:val="pt-BR"/>
        </w:rPr>
        <w:t>A qualidade das pastagens aqui encontradas se assemelha a outros estudos que acompanharam as URT’s orientadas pelos Programas da EPAGRI (FERNANDES &amp; VALOIS, 2021; JOCHIM et al., 2017). De maneira geral, a utilização de espécies perenes melhoradas em consórcio com espécies</w:t>
      </w:r>
      <w:r w:rsidR="000B6764">
        <w:rPr>
          <w:rFonts w:ascii="Arial" w:eastAsia="Arial" w:hAnsi="Arial" w:cs="Arial"/>
          <w:sz w:val="22"/>
          <w:szCs w:val="22"/>
          <w:lang w:val="pt-BR"/>
        </w:rPr>
        <w:t xml:space="preserve"> anuais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temperadas no inverno proporciona forragem de qualidade o ano todo no estado, fomentando assim a pecuária leiteira em Santa Catarina.  </w:t>
      </w:r>
    </w:p>
    <w:p w14:paraId="0A350D72" w14:textId="77777777" w:rsidR="00A74A4F" w:rsidRDefault="00A74A4F">
      <w:pPr>
        <w:spacing w:line="276" w:lineRule="auto"/>
        <w:ind w:firstLine="720"/>
        <w:rPr>
          <w:rFonts w:ascii="Arial" w:eastAsia="Arial" w:hAnsi="Arial" w:cs="Arial"/>
          <w:sz w:val="22"/>
          <w:szCs w:val="22"/>
          <w:lang w:val="pt-BR"/>
        </w:rPr>
      </w:pPr>
    </w:p>
    <w:p w14:paraId="3051771A" w14:textId="77777777" w:rsidR="00A74A4F" w:rsidRDefault="001F5B14">
      <w:pPr>
        <w:jc w:val="both"/>
        <w:rPr>
          <w:rFonts w:ascii="Arial" w:eastAsia="Arial" w:hAnsi="Arial" w:cs="Arial"/>
          <w:b/>
          <w:sz w:val="22"/>
          <w:szCs w:val="22"/>
          <w:lang w:val="pt-BR"/>
        </w:rPr>
      </w:pPr>
      <w:r>
        <w:rPr>
          <w:rFonts w:ascii="Arial" w:eastAsia="Arial" w:hAnsi="Arial" w:cs="Arial"/>
          <w:b/>
          <w:sz w:val="22"/>
          <w:szCs w:val="22"/>
          <w:lang w:val="pt-BR"/>
        </w:rPr>
        <w:t>Conclusão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: A utilização de espécies perenes e anuais temperadas no manejo de pastagens em propriedades catarinenses proporciona pasto de qualidade o ano todo, superando inclusive às exigências de vacas em lactação. </w:t>
      </w:r>
    </w:p>
    <w:p w14:paraId="4052EC20" w14:textId="77777777" w:rsidR="00A74A4F" w:rsidRDefault="00A74A4F">
      <w:pPr>
        <w:jc w:val="both"/>
        <w:rPr>
          <w:rFonts w:ascii="Arial" w:eastAsia="Arial" w:hAnsi="Arial" w:cs="Arial"/>
          <w:b/>
          <w:sz w:val="22"/>
          <w:szCs w:val="22"/>
          <w:lang w:val="pt-BR"/>
        </w:rPr>
      </w:pPr>
    </w:p>
    <w:p w14:paraId="48394CA2" w14:textId="77777777" w:rsidR="00A74A4F" w:rsidRDefault="001F5B14">
      <w:pPr>
        <w:jc w:val="both"/>
        <w:rPr>
          <w:rFonts w:ascii="Cambria" w:eastAsia="Cambria" w:hAnsi="Cambria" w:cs="Cambria"/>
          <w:color w:val="00000A"/>
          <w:lang w:val="pt-BR"/>
        </w:rPr>
      </w:pPr>
      <w:r>
        <w:rPr>
          <w:rFonts w:ascii="Arial" w:eastAsia="Arial" w:hAnsi="Arial" w:cs="Arial"/>
          <w:b/>
          <w:sz w:val="22"/>
          <w:szCs w:val="22"/>
          <w:lang w:val="pt-BR"/>
        </w:rPr>
        <w:t xml:space="preserve">Referências: </w:t>
      </w:r>
    </w:p>
    <w:p w14:paraId="593DC7DB" w14:textId="77777777" w:rsidR="00A74A4F" w:rsidRDefault="00A74A4F">
      <w:pPr>
        <w:jc w:val="both"/>
        <w:rPr>
          <w:rFonts w:ascii="Arial" w:eastAsia="Arial" w:hAnsi="Arial" w:cs="Arial"/>
          <w:sz w:val="22"/>
          <w:szCs w:val="22"/>
          <w:lang w:val="pt-BR"/>
        </w:rPr>
      </w:pPr>
    </w:p>
    <w:p w14:paraId="3228F0B4" w14:textId="77777777" w:rsidR="00A74A4F" w:rsidRDefault="001F5B14">
      <w:pPr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z w:val="22"/>
          <w:szCs w:val="22"/>
          <w:lang w:val="pt-BR"/>
        </w:rPr>
        <w:t>FERNANDES, C.O.M.; VALOIS, C.M. Do pasto ao leite: uma atividade rentável e sustentável. Florianópolis: Epagri, 2021, 76p. (Epagri. Boletim Técnico, 199).</w:t>
      </w:r>
    </w:p>
    <w:p w14:paraId="67A7028E" w14:textId="77777777" w:rsidR="00A74A4F" w:rsidRDefault="00A74A4F">
      <w:pPr>
        <w:jc w:val="both"/>
        <w:rPr>
          <w:rFonts w:ascii="Arial" w:eastAsia="Arial" w:hAnsi="Arial" w:cs="Arial"/>
          <w:sz w:val="22"/>
          <w:szCs w:val="22"/>
          <w:lang w:val="pt-BR"/>
        </w:rPr>
      </w:pPr>
    </w:p>
    <w:p w14:paraId="0D19E146" w14:textId="77777777" w:rsidR="00A74A4F" w:rsidRDefault="001F5B14">
      <w:pPr>
        <w:pStyle w:val="NormalWeb"/>
        <w:spacing w:beforeAutospacing="0" w:afterAutospacing="0"/>
        <w:jc w:val="both"/>
        <w:rPr>
          <w:lang w:val="pt-BR"/>
        </w:rPr>
      </w:pPr>
      <w:r>
        <w:rPr>
          <w:rFonts w:ascii="Arial" w:hAnsi="Arial" w:cs="Arial"/>
          <w:color w:val="000000"/>
          <w:sz w:val="22"/>
          <w:szCs w:val="22"/>
          <w:lang w:val="pt-BR"/>
        </w:rPr>
        <w:t>JOCHIM, F.; SILVA, P.A.P.; PORTES, V.M. Utilizando a altura do pasto como ferramenta de manejo de pastagens. Agropecuária Catarinense, 31(2), 42–44. 2018.</w:t>
      </w:r>
    </w:p>
    <w:p w14:paraId="34E3EC2F" w14:textId="77777777" w:rsidR="00A74A4F" w:rsidRDefault="00A74A4F">
      <w:pPr>
        <w:jc w:val="both"/>
        <w:rPr>
          <w:rFonts w:ascii="Arial" w:eastAsia="Arial" w:hAnsi="Arial" w:cs="Arial"/>
          <w:sz w:val="22"/>
          <w:szCs w:val="22"/>
          <w:lang w:val="pt-BR"/>
        </w:rPr>
      </w:pPr>
    </w:p>
    <w:p w14:paraId="26E891EE" w14:textId="77777777" w:rsidR="00A74A4F" w:rsidRDefault="001F5B14">
      <w:pPr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z w:val="22"/>
          <w:szCs w:val="22"/>
          <w:lang w:val="pt-BR"/>
        </w:rPr>
        <w:t>MITTELMANN, A. Principais espécies forrageiras. In: PEGORARO, L. M. C. (Ed.). Noções sobre produção de leite. Pelotas: Embrapa Clima Temperado, 2006. 153 p.</w:t>
      </w:r>
    </w:p>
    <w:p w14:paraId="43331C8C" w14:textId="77777777" w:rsidR="00A74A4F" w:rsidRDefault="00A74A4F">
      <w:pPr>
        <w:jc w:val="both"/>
        <w:rPr>
          <w:rFonts w:ascii="Arial" w:eastAsia="Arial" w:hAnsi="Arial" w:cs="Arial"/>
          <w:lang w:val="pt-BR"/>
        </w:rPr>
      </w:pPr>
    </w:p>
    <w:p w14:paraId="1ADAEC78" w14:textId="77777777" w:rsidR="00A74A4F" w:rsidRDefault="001F5B1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NASEM (National Academies of Sciences, Engineering, and Medicine). Nutrient Requirements of Dairy Cattle. 8th rev. ed. The National Academies Press, 2021. </w:t>
      </w:r>
    </w:p>
    <w:p w14:paraId="5BAE879E" w14:textId="77777777" w:rsidR="00A74A4F" w:rsidRDefault="00A74A4F">
      <w:pPr>
        <w:spacing w:line="276" w:lineRule="auto"/>
        <w:ind w:firstLine="720"/>
        <w:rPr>
          <w:rFonts w:ascii="Arial" w:eastAsia="Arial" w:hAnsi="Arial" w:cs="Arial"/>
          <w:sz w:val="22"/>
          <w:szCs w:val="22"/>
        </w:rPr>
      </w:pPr>
    </w:p>
    <w:p w14:paraId="519591F0" w14:textId="77777777" w:rsidR="00A74A4F" w:rsidRDefault="00A74A4F">
      <w:pPr>
        <w:ind w:right="284"/>
        <w:jc w:val="both"/>
        <w:rPr>
          <w:rFonts w:ascii="Cambria" w:eastAsia="Cambria" w:hAnsi="Cambria" w:cs="Cambria"/>
          <w:color w:val="00000A"/>
        </w:rPr>
      </w:pPr>
    </w:p>
    <w:sectPr w:rsidR="00A74A4F">
      <w:headerReference w:type="default" r:id="rId8"/>
      <w:footerReference w:type="default" r:id="rId9"/>
      <w:pgSz w:w="11906" w:h="16838"/>
      <w:pgMar w:top="1418" w:right="1305" w:bottom="1418" w:left="1418" w:header="0" w:footer="0" w:gutter="0"/>
      <w:pgNumType w:start="1"/>
      <w:cols w:space="720"/>
      <w:formProt w:val="0"/>
      <w:docGrid w:linePitch="10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E1FE7AD" w16cex:dateUtc="2023-10-10T15:26:00Z"/>
  <w16cex:commentExtensible w16cex:durableId="79462A1F" w16cex:dateUtc="2023-10-10T17:13:00Z"/>
  <w16cex:commentExtensible w16cex:durableId="5CA49C6E" w16cex:dateUtc="2023-10-10T17:15:00Z"/>
  <w16cex:commentExtensible w16cex:durableId="74806407" w16cex:dateUtc="2023-10-10T17:43:00Z"/>
  <w16cex:commentExtensible w16cex:durableId="3EABFF23" w16cex:dateUtc="2023-10-10T17:36:00Z"/>
  <w16cex:commentExtensible w16cex:durableId="27E8CFB6" w16cex:dateUtc="2023-10-10T17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AA8752" w16cid:durableId="1E1FE7AD"/>
  <w16cid:commentId w16cid:paraId="6A584674" w16cid:durableId="79462A1F"/>
  <w16cid:commentId w16cid:paraId="3B4CE5C3" w16cid:durableId="5CA49C6E"/>
  <w16cid:commentId w16cid:paraId="4E256E90" w16cid:durableId="74806407"/>
  <w16cid:commentId w16cid:paraId="4288C8A6" w16cid:durableId="3EABFF23"/>
  <w16cid:commentId w16cid:paraId="540BE02A" w16cid:durableId="27E8CFB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2C375" w14:textId="77777777" w:rsidR="00F537EC" w:rsidRDefault="00F537EC">
      <w:r>
        <w:separator/>
      </w:r>
    </w:p>
  </w:endnote>
  <w:endnote w:type="continuationSeparator" w:id="0">
    <w:p w14:paraId="7C67DDF4" w14:textId="77777777" w:rsidR="00F537EC" w:rsidRDefault="00F5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3CC60" w14:textId="77777777" w:rsidR="00A74A4F" w:rsidRDefault="00A74A4F">
    <w:pP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F75C4" w14:textId="77777777" w:rsidR="00F537EC" w:rsidRDefault="00F537EC">
      <w:r>
        <w:separator/>
      </w:r>
    </w:p>
  </w:footnote>
  <w:footnote w:type="continuationSeparator" w:id="0">
    <w:p w14:paraId="0559D29D" w14:textId="77777777" w:rsidR="00F537EC" w:rsidRDefault="00F53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71B9F" w14:textId="77777777" w:rsidR="00A74A4F" w:rsidRDefault="001F5B14">
    <w:pPr>
      <w:spacing w:line="276" w:lineRule="auto"/>
      <w:ind w:left="-540" w:right="280"/>
      <w:jc w:val="center"/>
      <w:rPr>
        <w:rFonts w:ascii="Cambria" w:eastAsia="Cambria" w:hAnsi="Cambria" w:cs="Cambria"/>
        <w:color w:val="00000A"/>
      </w:rPr>
    </w:pPr>
    <w:r>
      <w:rPr>
        <w:noProof/>
      </w:rPr>
      <w:drawing>
        <wp:inline distT="0" distB="0" distL="0" distR="0" wp14:anchorId="76A948B1" wp14:editId="5756ACA1">
          <wp:extent cx="6437630" cy="95694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3763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4F"/>
    <w:rsid w:val="00001F4C"/>
    <w:rsid w:val="00032688"/>
    <w:rsid w:val="000471A8"/>
    <w:rsid w:val="00057DCB"/>
    <w:rsid w:val="00077DB0"/>
    <w:rsid w:val="000B6764"/>
    <w:rsid w:val="000D10FD"/>
    <w:rsid w:val="0010224B"/>
    <w:rsid w:val="001139BB"/>
    <w:rsid w:val="0014752F"/>
    <w:rsid w:val="001F5B14"/>
    <w:rsid w:val="0034141C"/>
    <w:rsid w:val="003A35C9"/>
    <w:rsid w:val="0046646C"/>
    <w:rsid w:val="00473BB3"/>
    <w:rsid w:val="00504D34"/>
    <w:rsid w:val="00527476"/>
    <w:rsid w:val="00531CD6"/>
    <w:rsid w:val="00555580"/>
    <w:rsid w:val="0057062D"/>
    <w:rsid w:val="00591DFC"/>
    <w:rsid w:val="005C4C25"/>
    <w:rsid w:val="00623FE3"/>
    <w:rsid w:val="006449A5"/>
    <w:rsid w:val="00667944"/>
    <w:rsid w:val="00680363"/>
    <w:rsid w:val="006F0461"/>
    <w:rsid w:val="00712279"/>
    <w:rsid w:val="0076171E"/>
    <w:rsid w:val="007634B1"/>
    <w:rsid w:val="007E7169"/>
    <w:rsid w:val="00871DBA"/>
    <w:rsid w:val="009614CB"/>
    <w:rsid w:val="009867D0"/>
    <w:rsid w:val="009879C8"/>
    <w:rsid w:val="009D165B"/>
    <w:rsid w:val="00A34F6A"/>
    <w:rsid w:val="00A74A4F"/>
    <w:rsid w:val="00AC669C"/>
    <w:rsid w:val="00B5066A"/>
    <w:rsid w:val="00B63704"/>
    <w:rsid w:val="00C22EA9"/>
    <w:rsid w:val="00C73D0C"/>
    <w:rsid w:val="00D211C0"/>
    <w:rsid w:val="00D77634"/>
    <w:rsid w:val="00DB12F0"/>
    <w:rsid w:val="00DD0069"/>
    <w:rsid w:val="00F5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D35A2"/>
  <w15:docId w15:val="{D544FBE6-64D9-4780-A0D5-0E73675D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u w:val="single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rFonts w:ascii="Cambria" w:eastAsia="Arial Unicode MS" w:hAnsi="Cambria" w:cs="Arial Unicode MS"/>
      <w:color w:val="00000A"/>
      <w:u w:color="00000A"/>
    </w:rPr>
  </w:style>
  <w:style w:type="paragraph" w:customStyle="1" w:styleId="CabealhoeRodap">
    <w:name w:val="Cabeçalho e Rodapé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3449E5"/>
    <w:pPr>
      <w:spacing w:beforeAutospacing="1" w:afterAutospacing="1"/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077DB0"/>
    <w:pPr>
      <w:suppressAutoHyphens w:val="0"/>
    </w:pPr>
  </w:style>
  <w:style w:type="character" w:styleId="Refdecomentrio">
    <w:name w:val="annotation reference"/>
    <w:basedOn w:val="Fontepargpadro"/>
    <w:uiPriority w:val="99"/>
    <w:semiHidden/>
    <w:unhideWhenUsed/>
    <w:rsid w:val="005C4C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C4C2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C4C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4C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4C2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1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hdEdv4D5p9DjJSxR/JP8bY7sSeA==">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Kazama</dc:creator>
  <dc:description/>
  <cp:lastModifiedBy>Conta da Microsoft</cp:lastModifiedBy>
  <cp:revision>6</cp:revision>
  <dcterms:created xsi:type="dcterms:W3CDTF">2023-10-16T16:47:00Z</dcterms:created>
  <dcterms:modified xsi:type="dcterms:W3CDTF">2023-10-16T17:46:00Z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ac3b4f7054f72d0a4c3283c9d90825df7df2a65186b97fed6858d2eb90e62fb9</vt:lpwstr>
  </property>
</Properties>
</file>