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D3" w:rsidRDefault="004F4AE1">
      <w:pPr>
        <w:pStyle w:val="LO-normal"/>
        <w:spacing w:line="276" w:lineRule="auto"/>
        <w:ind w:right="280"/>
        <w:jc w:val="center"/>
      </w:pPr>
      <w:r w:rsidRPr="00EF781F">
        <w:rPr>
          <w:noProof/>
          <w:lang w:val="pt-BR"/>
        </w:rPr>
        <w:drawing>
          <wp:anchor distT="152400" distB="152400" distL="152400" distR="152400" simplePos="0" relativeHeight="251663360" behindDoc="0" locked="0" layoutInCell="1" allowOverlap="1" wp14:anchorId="12C05582" wp14:editId="779D061C">
            <wp:simplePos x="0" y="0"/>
            <wp:positionH relativeFrom="page">
              <wp:posOffset>-6350</wp:posOffset>
            </wp:positionH>
            <wp:positionV relativeFrom="page">
              <wp:posOffset>8255</wp:posOffset>
            </wp:positionV>
            <wp:extent cx="7556500" cy="1115194"/>
            <wp:effectExtent l="0" t="0" r="0" b="0"/>
            <wp:wrapTopAndBottom distT="152400" distB="152400"/>
            <wp:docPr id="2" name="officeArt object" descr="Cabeçalho SBSS-02.jpg"/>
            <wp:cNvGraphicFramePr/>
            <a:graphic xmlns:a="http://schemas.openxmlformats.org/drawingml/2006/main">
              <a:graphicData uri="http://schemas.openxmlformats.org/drawingml/2006/picture">
                <pic:pic xmlns:pic="http://schemas.openxmlformats.org/drawingml/2006/picture">
                  <pic:nvPicPr>
                    <pic:cNvPr id="1073741825" name="Cabeçalho SBSS-02.jpg" descr="Cabeçalho SBSS-02.jpg"/>
                    <pic:cNvPicPr>
                      <a:picLocks noChangeAspect="1"/>
                    </pic:cNvPicPr>
                  </pic:nvPicPr>
                  <pic:blipFill>
                    <a:blip r:embed="rId6">
                      <a:extLst/>
                    </a:blip>
                    <a:stretch>
                      <a:fillRect/>
                    </a:stretch>
                  </pic:blipFill>
                  <pic:spPr>
                    <a:xfrm>
                      <a:off x="0" y="0"/>
                      <a:ext cx="7556500" cy="1115194"/>
                    </a:xfrm>
                    <a:prstGeom prst="rect">
                      <a:avLst/>
                    </a:prstGeom>
                    <a:ln w="12700" cap="flat">
                      <a:noFill/>
                      <a:miter lim="400000"/>
                    </a:ln>
                    <a:effectLst/>
                  </pic:spPr>
                </pic:pic>
              </a:graphicData>
            </a:graphic>
          </wp:anchor>
        </w:drawing>
      </w:r>
    </w:p>
    <w:p w:rsidR="008F38D3" w:rsidRDefault="00484E51">
      <w:pPr>
        <w:pStyle w:val="LO-normal"/>
        <w:spacing w:line="276" w:lineRule="auto"/>
        <w:ind w:right="280"/>
        <w:jc w:val="center"/>
        <w:rPr>
          <w:rFonts w:ascii="Arial" w:eastAsia="Arial" w:hAnsi="Arial" w:cs="Arial"/>
          <w:color w:val="000000"/>
          <w:sz w:val="28"/>
          <w:szCs w:val="28"/>
          <w:u w:color="000000"/>
        </w:rPr>
      </w:pPr>
      <w:r>
        <w:rPr>
          <w:rFonts w:ascii="Arial" w:hAnsi="Arial"/>
          <w:b/>
          <w:bCs/>
          <w:color w:val="000000"/>
          <w:sz w:val="28"/>
          <w:szCs w:val="28"/>
          <w:u w:color="000000"/>
        </w:rPr>
        <w:t>DISTRIBUIÇÃO DE PRODUÇÃO DE FORRAGEM DE TIFTON 85</w:t>
      </w:r>
    </w:p>
    <w:p w:rsidR="008F38D3" w:rsidRDefault="008F38D3">
      <w:pPr>
        <w:pStyle w:val="LO-normal"/>
        <w:ind w:right="284"/>
        <w:jc w:val="center"/>
        <w:rPr>
          <w:rFonts w:ascii="Arial" w:eastAsia="Arial" w:hAnsi="Arial" w:cs="Arial"/>
          <w:color w:val="000000"/>
          <w:sz w:val="22"/>
          <w:szCs w:val="22"/>
          <w:u w:color="000000"/>
        </w:rPr>
      </w:pPr>
    </w:p>
    <w:p w:rsidR="008F38D3" w:rsidRDefault="00484E51">
      <w:pPr>
        <w:pStyle w:val="LO-normal"/>
        <w:ind w:right="284"/>
        <w:jc w:val="center"/>
        <w:rPr>
          <w:rFonts w:ascii="Arial" w:eastAsia="Arial" w:hAnsi="Arial" w:cs="Arial"/>
          <w:color w:val="000000"/>
          <w:sz w:val="20"/>
          <w:szCs w:val="20"/>
          <w:u w:color="000000"/>
        </w:rPr>
      </w:pPr>
      <w:r>
        <w:rPr>
          <w:rFonts w:ascii="Arial" w:hAnsi="Arial"/>
          <w:color w:val="000000"/>
          <w:sz w:val="20"/>
          <w:szCs w:val="20"/>
          <w:u w:val="single" w:color="000000"/>
        </w:rPr>
        <w:t>Felipe Jochims</w:t>
      </w:r>
      <w:r w:rsidR="006A1B54">
        <w:rPr>
          <w:rFonts w:ascii="Arial" w:hAnsi="Arial"/>
          <w:color w:val="000000"/>
          <w:sz w:val="20"/>
          <w:szCs w:val="20"/>
          <w:u w:color="000000"/>
          <w:vertAlign w:val="superscript"/>
        </w:rPr>
        <w:t>1</w:t>
      </w:r>
    </w:p>
    <w:p w:rsidR="008F38D3" w:rsidRDefault="008F38D3">
      <w:pPr>
        <w:pStyle w:val="LO-normal"/>
        <w:ind w:right="284"/>
        <w:jc w:val="center"/>
        <w:rPr>
          <w:rFonts w:ascii="Arial" w:eastAsia="Arial" w:hAnsi="Arial" w:cs="Arial"/>
          <w:color w:val="000000"/>
          <w:sz w:val="22"/>
          <w:szCs w:val="22"/>
          <w:u w:color="000000"/>
        </w:rPr>
      </w:pPr>
    </w:p>
    <w:p w:rsidR="008F38D3" w:rsidRPr="00484E51" w:rsidRDefault="006A1B54">
      <w:pPr>
        <w:pStyle w:val="LO-normal"/>
        <w:ind w:right="284"/>
        <w:jc w:val="center"/>
        <w:rPr>
          <w:rFonts w:ascii="Arial" w:eastAsia="Arial" w:hAnsi="Arial" w:cs="Arial"/>
          <w:color w:val="000000"/>
          <w:sz w:val="20"/>
          <w:szCs w:val="20"/>
          <w:u w:color="000000"/>
          <w:lang w:val="pt-BR"/>
        </w:rPr>
      </w:pPr>
      <w:r w:rsidRPr="00484E51">
        <w:rPr>
          <w:rFonts w:ascii="Arial" w:hAnsi="Arial"/>
          <w:color w:val="000000"/>
          <w:sz w:val="20"/>
          <w:szCs w:val="20"/>
          <w:u w:color="000000"/>
          <w:vertAlign w:val="superscript"/>
          <w:lang w:val="pt-BR"/>
        </w:rPr>
        <w:t>1</w:t>
      </w:r>
      <w:r w:rsidR="00484E51" w:rsidRPr="00484E51">
        <w:rPr>
          <w:rFonts w:ascii="Arial" w:hAnsi="Arial"/>
          <w:color w:val="000000"/>
          <w:sz w:val="20"/>
          <w:szCs w:val="20"/>
          <w:u w:color="000000"/>
          <w:lang w:val="pt-BR"/>
        </w:rPr>
        <w:t>Centro de Pesquisa para Agricultura Familiar (CEPAF), Empresa de Pesquisa e Extensão Rural de Santa Catarina (Epagri).</w:t>
      </w:r>
      <w:r w:rsidRPr="00484E51">
        <w:rPr>
          <w:rFonts w:ascii="Arial" w:hAnsi="Arial"/>
          <w:color w:val="000000"/>
          <w:sz w:val="20"/>
          <w:szCs w:val="20"/>
          <w:u w:color="000000"/>
          <w:lang w:val="pt-BR"/>
        </w:rPr>
        <w:t xml:space="preserve"> E-mail: </w:t>
      </w:r>
      <w:r w:rsidR="00484E51" w:rsidRPr="00484E51">
        <w:rPr>
          <w:rFonts w:ascii="Arial" w:hAnsi="Arial"/>
          <w:color w:val="000000"/>
          <w:sz w:val="20"/>
          <w:szCs w:val="20"/>
          <w:u w:color="000000"/>
          <w:lang w:val="pt-BR"/>
        </w:rPr>
        <w:t>felipejochims@epagri.sc.gov.br</w:t>
      </w:r>
    </w:p>
    <w:p w:rsidR="008F38D3" w:rsidRDefault="008F38D3">
      <w:pPr>
        <w:pStyle w:val="LO-normal"/>
        <w:ind w:right="284"/>
        <w:rPr>
          <w:rFonts w:ascii="Arial" w:eastAsia="Arial" w:hAnsi="Arial" w:cs="Arial"/>
          <w:color w:val="000000"/>
          <w:sz w:val="22"/>
          <w:szCs w:val="22"/>
          <w:u w:color="000000"/>
        </w:rPr>
      </w:pPr>
    </w:p>
    <w:p w:rsidR="004F4AE1" w:rsidRDefault="004F4AE1" w:rsidP="004F4AE1">
      <w:pPr>
        <w:pStyle w:val="LO-normal"/>
        <w:jc w:val="both"/>
        <w:rPr>
          <w:rFonts w:ascii="Arial" w:hAnsi="Arial"/>
          <w:color w:val="000000"/>
          <w:sz w:val="22"/>
          <w:szCs w:val="22"/>
          <w:u w:color="000000"/>
          <w:lang w:val="pt-BR"/>
        </w:rPr>
      </w:pPr>
      <w:r>
        <w:rPr>
          <w:rFonts w:ascii="Arial" w:hAnsi="Arial"/>
          <w:b/>
          <w:bCs/>
          <w:color w:val="000000"/>
          <w:sz w:val="22"/>
          <w:szCs w:val="22"/>
          <w:u w:color="000000"/>
          <w:lang w:val="pt-BR"/>
        </w:rPr>
        <w:t>Contribuição para a sociedade</w:t>
      </w:r>
      <w:r>
        <w:rPr>
          <w:rFonts w:ascii="Arial" w:hAnsi="Arial"/>
          <w:color w:val="000000"/>
          <w:sz w:val="22"/>
          <w:szCs w:val="22"/>
          <w:u w:color="000000"/>
          <w:lang w:val="pt-BR"/>
        </w:rPr>
        <w:t>: A produção animal a base de pasto é a forma mais eficiente para reduzir o custo de produção. Nesses sistemas, o planejamento forrageiro é uma etapa organizacional de extrema importância para ajustar a demanda de forragem com a capacidade produtiva da propriedade. Assim, o conhecimento do potencial produtivo da forragem mais utilizada nos sistemas produtivos de leite ganha importância. Para isso foi avaliado em Chapecó CEPAF uma pastagem de Tifton-85 por quatro anos consecutivos, com avaliações a tempo fixo para capturar inclusive a produtividade no inverno. A produção média de forragem por ano foi de 22,8t/ha de massa seca (MS) e distribuída com as máximas produções entre novembro e janeiro e as menores produções entre julho e agosto.</w:t>
      </w:r>
    </w:p>
    <w:p w:rsidR="004F4AE1" w:rsidRDefault="004F4AE1" w:rsidP="004F4AE1">
      <w:pPr>
        <w:pStyle w:val="LO-normal"/>
        <w:jc w:val="both"/>
        <w:rPr>
          <w:rFonts w:ascii="Arial" w:eastAsia="Arial" w:hAnsi="Arial" w:cs="Arial"/>
          <w:color w:val="000000"/>
          <w:sz w:val="22"/>
          <w:szCs w:val="22"/>
          <w:u w:color="000000"/>
        </w:rPr>
      </w:pPr>
    </w:p>
    <w:p w:rsidR="004F4AE1" w:rsidRDefault="004F4AE1" w:rsidP="004F4AE1">
      <w:pPr>
        <w:pStyle w:val="LO-normal"/>
        <w:jc w:val="both"/>
        <w:rPr>
          <w:lang w:val="pt-BR"/>
        </w:rPr>
      </w:pPr>
      <w:r>
        <w:rPr>
          <w:rFonts w:ascii="Arial" w:hAnsi="Arial"/>
          <w:b/>
          <w:bCs/>
          <w:color w:val="000000"/>
          <w:sz w:val="22"/>
          <w:szCs w:val="22"/>
          <w:u w:color="000000"/>
          <w:lang w:val="pt-BR"/>
        </w:rPr>
        <w:t>Palavras-chave</w:t>
      </w:r>
      <w:r>
        <w:rPr>
          <w:rFonts w:ascii="Arial" w:hAnsi="Arial"/>
          <w:color w:val="000000"/>
          <w:sz w:val="22"/>
          <w:szCs w:val="22"/>
          <w:u w:color="000000"/>
          <w:lang w:val="pt-BR"/>
        </w:rPr>
        <w:t xml:space="preserve">: pastagem perene, planejamento forrageiro, curva produtiva, </w:t>
      </w:r>
      <w:proofErr w:type="spellStart"/>
      <w:r>
        <w:rPr>
          <w:rFonts w:ascii="Arial" w:hAnsi="Arial"/>
          <w:i/>
          <w:color w:val="000000"/>
          <w:sz w:val="22"/>
          <w:szCs w:val="22"/>
          <w:u w:color="000000"/>
          <w:lang w:val="pt-BR"/>
        </w:rPr>
        <w:t>cynodon</w:t>
      </w:r>
      <w:proofErr w:type="spellEnd"/>
      <w:r>
        <w:rPr>
          <w:rFonts w:ascii="Arial" w:hAnsi="Arial"/>
          <w:i/>
          <w:color w:val="000000"/>
          <w:sz w:val="22"/>
          <w:szCs w:val="22"/>
          <w:u w:color="000000"/>
          <w:lang w:val="pt-BR"/>
        </w:rPr>
        <w:t xml:space="preserve"> </w:t>
      </w:r>
      <w:r>
        <w:rPr>
          <w:rFonts w:ascii="Arial" w:hAnsi="Arial"/>
          <w:color w:val="000000"/>
          <w:sz w:val="22"/>
          <w:szCs w:val="22"/>
          <w:u w:color="000000"/>
          <w:lang w:val="pt-BR"/>
        </w:rPr>
        <w:t>sp.</w:t>
      </w:r>
    </w:p>
    <w:p w:rsidR="004F4AE1" w:rsidRDefault="004F4AE1" w:rsidP="004F4AE1">
      <w:pPr>
        <w:pStyle w:val="LO-normal"/>
        <w:jc w:val="both"/>
        <w:rPr>
          <w:rFonts w:ascii="Arial" w:eastAsia="Arial" w:hAnsi="Arial" w:cs="Arial"/>
          <w:color w:val="000000"/>
          <w:sz w:val="22"/>
          <w:szCs w:val="22"/>
          <w:u w:color="000000"/>
        </w:rPr>
      </w:pPr>
    </w:p>
    <w:p w:rsidR="004F4AE1" w:rsidRDefault="004F4AE1" w:rsidP="004F4AE1">
      <w:pPr>
        <w:pStyle w:val="LO-normal"/>
        <w:jc w:val="both"/>
        <w:rPr>
          <w:rFonts w:ascii="Arial" w:hAnsi="Arial"/>
          <w:bCs/>
          <w:color w:val="000000"/>
          <w:sz w:val="22"/>
          <w:szCs w:val="22"/>
          <w:u w:color="000000"/>
          <w:lang w:val="pt-BR"/>
        </w:rPr>
      </w:pPr>
      <w:r>
        <w:rPr>
          <w:rFonts w:ascii="Arial" w:hAnsi="Arial"/>
          <w:b/>
          <w:bCs/>
          <w:color w:val="000000"/>
          <w:sz w:val="22"/>
          <w:szCs w:val="22"/>
          <w:u w:color="000000"/>
          <w:lang w:val="pt-BR"/>
        </w:rPr>
        <w:t xml:space="preserve">Introdução: </w:t>
      </w:r>
      <w:r>
        <w:rPr>
          <w:rFonts w:ascii="Arial" w:hAnsi="Arial"/>
          <w:bCs/>
          <w:color w:val="000000"/>
          <w:sz w:val="22"/>
          <w:szCs w:val="22"/>
          <w:u w:color="000000"/>
          <w:lang w:val="pt-BR"/>
        </w:rPr>
        <w:t xml:space="preserve">Em sistemas de produção à base de pasto a produção animal está condicionada a fatores como a estrutura do rebanho, potencial genético dos animais, ambiência e, principalmente, a capacidade produtiva da pastagem (MILLIGAN et al., 2013). Aliado a essa capacidade, o manejo utilizado na pastagem e, consequentemente, a capacidade de suporte dessas pastagens são o fator determinante entre a otimização de colheita e da produção ou, no caso de equívocos, uma redução na produção de forragem e um consequente aumento no aporte de recursos físicos, tal como forragens conservadas ou alimentos concentrados (MACDONALD et al., 2008). Dessa forma, para um eficiente planejamento forrageiro das propriedades, com propósito de ajuste da carga animal, o conhecimento das curvas de produção das forragens tem importância indiscutível para o desenvolvimento de sistemas produtivos eficientes. Somente com a real produtividade dos pastos será possível de calcular as necessidades do rebanho e como suprir a demanda alimentar durante os diferentes períodos do ano, o qual implica em uma ampla variação de produção e qualidade nutricional do pasto. Dessa forma o presente trabalho objetivou avaliar a curva de produção de uma pastagem de Tifton-85, espécie mais utilizada na região Oeste de SC (JOCHIMS et al., 2017) visando auxiliar na tomada de decisão de técnicos e produtores. </w:t>
      </w:r>
    </w:p>
    <w:p w:rsidR="004F4AE1" w:rsidRDefault="004F4AE1" w:rsidP="004F4AE1">
      <w:pPr>
        <w:pStyle w:val="LO-normal"/>
        <w:jc w:val="both"/>
        <w:rPr>
          <w:rFonts w:ascii="Arial" w:eastAsia="Arial" w:hAnsi="Arial" w:cs="Arial"/>
          <w:color w:val="000000"/>
          <w:sz w:val="22"/>
          <w:szCs w:val="22"/>
          <w:u w:color="000000"/>
        </w:rPr>
      </w:pPr>
    </w:p>
    <w:p w:rsidR="004F4AE1" w:rsidRDefault="004F4AE1" w:rsidP="004F4AE1">
      <w:pPr>
        <w:pStyle w:val="LO-normal"/>
        <w:jc w:val="both"/>
        <w:rPr>
          <w:rFonts w:ascii="Arial" w:hAnsi="Arial"/>
          <w:color w:val="000000"/>
          <w:sz w:val="22"/>
          <w:szCs w:val="22"/>
          <w:u w:color="000000"/>
          <w:lang w:val="pt-BR"/>
        </w:rPr>
      </w:pPr>
      <w:bookmarkStart w:id="0" w:name="_headingh.30j0zll"/>
      <w:bookmarkEnd w:id="0"/>
      <w:r>
        <w:rPr>
          <w:rFonts w:ascii="Arial" w:hAnsi="Arial"/>
          <w:b/>
          <w:bCs/>
          <w:color w:val="000000"/>
          <w:sz w:val="22"/>
          <w:szCs w:val="22"/>
          <w:u w:color="000000"/>
          <w:lang w:val="pt-BR"/>
        </w:rPr>
        <w:t>Material e métodos:</w:t>
      </w:r>
      <w:r>
        <w:rPr>
          <w:rFonts w:ascii="Arial" w:hAnsi="Arial"/>
          <w:color w:val="000000"/>
          <w:sz w:val="22"/>
          <w:szCs w:val="22"/>
          <w:u w:color="000000"/>
          <w:lang w:val="pt-BR"/>
        </w:rPr>
        <w:t xml:space="preserve"> O trabalho foi realizado, de janeiro de 2018 a dezembro de 2021, totalizando quatro anos, na área do Centro de Pesquisa para Agricultura Familiar (CEPAF), da Empresa de Pesquisa e Extensão Rural de Santa Catarina (Epagri), em Chapecó, Oeste de Santa Catarina, com 679m de altitude, latitude de 27°07’ S e longitude de 52°37’ O. O clima da região é do tipo </w:t>
      </w:r>
      <w:proofErr w:type="spellStart"/>
      <w:r>
        <w:rPr>
          <w:rFonts w:ascii="Arial" w:hAnsi="Arial"/>
          <w:color w:val="000000"/>
          <w:sz w:val="22"/>
          <w:szCs w:val="22"/>
          <w:u w:color="000000"/>
          <w:lang w:val="pt-BR"/>
        </w:rPr>
        <w:t>Cfa</w:t>
      </w:r>
      <w:proofErr w:type="spellEnd"/>
      <w:r>
        <w:rPr>
          <w:rFonts w:ascii="Arial" w:hAnsi="Arial"/>
          <w:color w:val="000000"/>
          <w:sz w:val="22"/>
          <w:szCs w:val="22"/>
          <w:u w:color="000000"/>
          <w:lang w:val="pt-BR"/>
        </w:rPr>
        <w:t xml:space="preserve"> (classificação de </w:t>
      </w:r>
      <w:proofErr w:type="spellStart"/>
      <w:r>
        <w:rPr>
          <w:rFonts w:ascii="Arial" w:hAnsi="Arial"/>
          <w:color w:val="000000"/>
          <w:sz w:val="22"/>
          <w:szCs w:val="22"/>
          <w:u w:color="000000"/>
          <w:lang w:val="pt-BR"/>
        </w:rPr>
        <w:t>Köppen</w:t>
      </w:r>
      <w:proofErr w:type="spellEnd"/>
      <w:r>
        <w:rPr>
          <w:rFonts w:ascii="Arial" w:hAnsi="Arial"/>
          <w:color w:val="000000"/>
          <w:sz w:val="22"/>
          <w:szCs w:val="22"/>
          <w:u w:color="000000"/>
          <w:lang w:val="pt-BR"/>
        </w:rPr>
        <w:t xml:space="preserve">), subtropical úmido, com chuvas bem distribuídas durante o ano, precipitação média anual de 2.100 mm, umidade relativa do ar de 72% e temperatura anual média de 19,3°C. O solo é classificado como </w:t>
      </w:r>
      <w:proofErr w:type="spellStart"/>
      <w:r>
        <w:rPr>
          <w:rFonts w:ascii="Arial" w:hAnsi="Arial"/>
          <w:color w:val="000000"/>
          <w:sz w:val="22"/>
          <w:szCs w:val="22"/>
          <w:u w:color="000000"/>
          <w:lang w:val="pt-BR"/>
        </w:rPr>
        <w:t>Latossolo</w:t>
      </w:r>
      <w:proofErr w:type="spellEnd"/>
      <w:r>
        <w:rPr>
          <w:rFonts w:ascii="Arial" w:hAnsi="Arial"/>
          <w:color w:val="000000"/>
          <w:sz w:val="22"/>
          <w:szCs w:val="22"/>
          <w:u w:color="000000"/>
          <w:lang w:val="pt-BR"/>
        </w:rPr>
        <w:t xml:space="preserve"> Vermelho </w:t>
      </w:r>
      <w:proofErr w:type="spellStart"/>
      <w:r>
        <w:rPr>
          <w:rFonts w:ascii="Arial" w:hAnsi="Arial"/>
          <w:color w:val="000000"/>
          <w:sz w:val="22"/>
          <w:szCs w:val="22"/>
          <w:u w:color="000000"/>
          <w:lang w:val="pt-BR"/>
        </w:rPr>
        <w:t>Distroférrico</w:t>
      </w:r>
      <w:proofErr w:type="spellEnd"/>
      <w:r>
        <w:rPr>
          <w:rFonts w:ascii="Arial" w:hAnsi="Arial"/>
          <w:color w:val="000000"/>
          <w:sz w:val="22"/>
          <w:szCs w:val="22"/>
          <w:u w:color="000000"/>
          <w:lang w:val="pt-BR"/>
        </w:rPr>
        <w:t xml:space="preserve"> (EMBRAPA, 2006), com teores de argila de 56%, pH em água de 5,9, teor de fósforo (P) de 7,3 mg.dm</w:t>
      </w:r>
      <w:r>
        <w:rPr>
          <w:rFonts w:ascii="Arial" w:hAnsi="Arial"/>
          <w:color w:val="000000"/>
          <w:sz w:val="22"/>
          <w:szCs w:val="22"/>
          <w:u w:color="000000"/>
          <w:vertAlign w:val="superscript"/>
          <w:lang w:val="pt-BR"/>
        </w:rPr>
        <w:t>-</w:t>
      </w:r>
      <w:r>
        <w:rPr>
          <w:rFonts w:ascii="Arial" w:hAnsi="Arial"/>
          <w:color w:val="000000"/>
          <w:sz w:val="22"/>
          <w:szCs w:val="22"/>
          <w:u w:color="000000"/>
          <w:lang w:val="pt-BR"/>
        </w:rPr>
        <w:t>³, potássio (K) de 44 mg.dm</w:t>
      </w:r>
      <w:r>
        <w:rPr>
          <w:rFonts w:ascii="Arial" w:hAnsi="Arial"/>
          <w:color w:val="000000"/>
          <w:sz w:val="22"/>
          <w:szCs w:val="22"/>
          <w:u w:color="000000"/>
          <w:vertAlign w:val="superscript"/>
          <w:lang w:val="pt-BR"/>
        </w:rPr>
        <w:t>-</w:t>
      </w:r>
      <w:r>
        <w:rPr>
          <w:rFonts w:ascii="Arial" w:hAnsi="Arial"/>
          <w:color w:val="000000"/>
          <w:sz w:val="22"/>
          <w:szCs w:val="22"/>
          <w:u w:color="000000"/>
          <w:lang w:val="pt-BR"/>
        </w:rPr>
        <w:t xml:space="preserve">³ e 2,6% de matéria orgânica. As produtividades do Tifton-85 foram avaliadas em parcelas de 4 </w:t>
      </w:r>
      <w:r>
        <w:rPr>
          <w:rFonts w:ascii="Arial" w:hAnsi="Arial" w:cs="Arial"/>
          <w:color w:val="000000"/>
          <w:sz w:val="22"/>
          <w:szCs w:val="22"/>
          <w:u w:color="000000"/>
          <w:lang w:val="pt-BR"/>
        </w:rPr>
        <w:t xml:space="preserve">× </w:t>
      </w:r>
      <w:r>
        <w:rPr>
          <w:rFonts w:ascii="Arial" w:hAnsi="Arial"/>
          <w:color w:val="000000"/>
          <w:sz w:val="22"/>
          <w:szCs w:val="22"/>
          <w:u w:color="000000"/>
          <w:lang w:val="pt-BR"/>
        </w:rPr>
        <w:t xml:space="preserve">4 m², com quatro repetições e avaliações em “tempo fixo”, aproximadamente a cada 28 dias. Essas avaliações visaram observar a queda de produção da espécie estival com as baixas temperaturas no outono/inverno. Em cada avaliação foram realizados cortes com área de 1m² no centro das parcelas. Anualmente realizou-se adubação de correção, seguindo recomendação do manual de adubação e calagem do RS e SC e adubação nitrogenada para a produção de 20t anuais, </w:t>
      </w:r>
      <w:r>
        <w:rPr>
          <w:rFonts w:ascii="Arial" w:hAnsi="Arial"/>
          <w:color w:val="000000"/>
          <w:sz w:val="22"/>
          <w:szCs w:val="22"/>
          <w:u w:color="000000"/>
          <w:lang w:val="pt-BR"/>
        </w:rPr>
        <w:lastRenderedPageBreak/>
        <w:t>além do fornecimento de 30kg/N/ha após cada corte. O experimento rodou em delineamento totalmente ao acaso e quatro repetições, com análises repetidas no tempo para avaliação da dinâmica de crescimento do Tifton 85. Os dados foram submetidos a análise de variância (teste F) a 5% de significância e comparadas pelo teste Duncan a 5%. As análises dos dados foram realizadas com o software estatístico R.</w:t>
      </w:r>
    </w:p>
    <w:p w:rsidR="004F4AE1" w:rsidRDefault="004F4AE1" w:rsidP="00C45325">
      <w:pPr>
        <w:pStyle w:val="LO-normal"/>
        <w:jc w:val="both"/>
        <w:rPr>
          <w:rFonts w:ascii="Arial" w:hAnsi="Arial"/>
          <w:color w:val="000000"/>
          <w:sz w:val="22"/>
          <w:szCs w:val="22"/>
          <w:u w:color="000000"/>
          <w:lang w:val="pt-BR"/>
        </w:rPr>
      </w:pPr>
    </w:p>
    <w:p w:rsidR="00FF3CA3" w:rsidRPr="00FF3CA3" w:rsidRDefault="006A1B54">
      <w:pPr>
        <w:pStyle w:val="LO-normal"/>
        <w:jc w:val="both"/>
        <w:rPr>
          <w:rFonts w:ascii="Arial" w:hAnsi="Arial"/>
          <w:b/>
          <w:bCs/>
          <w:color w:val="000000"/>
          <w:sz w:val="22"/>
          <w:szCs w:val="22"/>
          <w:u w:color="000000"/>
          <w:lang w:val="pt-BR"/>
        </w:rPr>
      </w:pPr>
      <w:r w:rsidRPr="00EF781F">
        <w:rPr>
          <w:noProof/>
          <w:lang w:val="pt-BR"/>
        </w:rPr>
        <w:drawing>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7556500" cy="1115194"/>
            <wp:effectExtent l="0" t="0" r="0" b="0"/>
            <wp:wrapTopAndBottom distT="152400" distB="152400"/>
            <wp:docPr id="1073741825" name="officeArt object" descr="Cabeçalho SBSS-02.jpg"/>
            <wp:cNvGraphicFramePr/>
            <a:graphic xmlns:a="http://schemas.openxmlformats.org/drawingml/2006/main">
              <a:graphicData uri="http://schemas.openxmlformats.org/drawingml/2006/picture">
                <pic:pic xmlns:pic="http://schemas.openxmlformats.org/drawingml/2006/picture">
                  <pic:nvPicPr>
                    <pic:cNvPr id="1073741825" name="Cabeçalho SBSS-02.jpg" descr="Cabeçalho SBSS-02.jpg"/>
                    <pic:cNvPicPr>
                      <a:picLocks noChangeAspect="1"/>
                    </pic:cNvPicPr>
                  </pic:nvPicPr>
                  <pic:blipFill>
                    <a:blip r:embed="rId6">
                      <a:extLst/>
                    </a:blip>
                    <a:stretch>
                      <a:fillRect/>
                    </a:stretch>
                  </pic:blipFill>
                  <pic:spPr>
                    <a:xfrm>
                      <a:off x="0" y="0"/>
                      <a:ext cx="7556500" cy="1115194"/>
                    </a:xfrm>
                    <a:prstGeom prst="rect">
                      <a:avLst/>
                    </a:prstGeom>
                    <a:ln w="12700" cap="flat">
                      <a:noFill/>
                      <a:miter lim="400000"/>
                    </a:ln>
                    <a:effectLst/>
                  </pic:spPr>
                </pic:pic>
              </a:graphicData>
            </a:graphic>
          </wp:anchor>
        </w:drawing>
      </w:r>
      <w:proofErr w:type="spellStart"/>
      <w:r w:rsidR="004F4AE1">
        <w:rPr>
          <w:rFonts w:ascii="Arial" w:hAnsi="Arial"/>
          <w:b/>
          <w:bCs/>
          <w:color w:val="000000"/>
          <w:sz w:val="22"/>
          <w:szCs w:val="22"/>
          <w:u w:color="000000"/>
        </w:rPr>
        <w:t>Resultados</w:t>
      </w:r>
      <w:proofErr w:type="spellEnd"/>
      <w:r w:rsidR="004F4AE1">
        <w:rPr>
          <w:rFonts w:ascii="Arial" w:hAnsi="Arial"/>
          <w:b/>
          <w:bCs/>
          <w:color w:val="000000"/>
          <w:sz w:val="22"/>
          <w:szCs w:val="22"/>
          <w:u w:color="000000"/>
        </w:rPr>
        <w:t xml:space="preserve"> e </w:t>
      </w:r>
      <w:proofErr w:type="spellStart"/>
      <w:r w:rsidR="004F4AE1">
        <w:rPr>
          <w:rFonts w:ascii="Arial" w:hAnsi="Arial"/>
          <w:b/>
          <w:bCs/>
          <w:color w:val="000000"/>
          <w:sz w:val="22"/>
          <w:szCs w:val="22"/>
          <w:u w:color="000000"/>
        </w:rPr>
        <w:t>discussões</w:t>
      </w:r>
      <w:proofErr w:type="spellEnd"/>
      <w:r w:rsidR="004F4AE1">
        <w:rPr>
          <w:rFonts w:ascii="Arial" w:hAnsi="Arial"/>
          <w:b/>
          <w:bCs/>
          <w:color w:val="000000"/>
          <w:sz w:val="22"/>
          <w:szCs w:val="22"/>
          <w:u w:color="000000"/>
        </w:rPr>
        <w:t xml:space="preserve">: </w:t>
      </w:r>
      <w:r w:rsidR="004F4AE1">
        <w:rPr>
          <w:rFonts w:ascii="Arial" w:hAnsi="Arial"/>
          <w:bCs/>
          <w:color w:val="000000"/>
          <w:sz w:val="22"/>
          <w:szCs w:val="22"/>
          <w:u w:color="000000"/>
          <w:lang w:val="pt-BR"/>
        </w:rPr>
        <w:t xml:space="preserve">Houve interação corte </w:t>
      </w:r>
      <w:r w:rsidR="004F4AE1">
        <w:rPr>
          <w:rFonts w:ascii="Arial" w:hAnsi="Arial" w:cs="Arial"/>
          <w:bCs/>
          <w:color w:val="000000"/>
          <w:sz w:val="22"/>
          <w:szCs w:val="22"/>
          <w:u w:color="000000"/>
          <w:lang w:val="pt-BR"/>
        </w:rPr>
        <w:t>×</w:t>
      </w:r>
      <w:r w:rsidR="004F4AE1">
        <w:rPr>
          <w:rFonts w:ascii="Arial" w:hAnsi="Arial"/>
          <w:bCs/>
          <w:color w:val="000000"/>
          <w:sz w:val="22"/>
          <w:szCs w:val="22"/>
          <w:u w:color="000000"/>
          <w:lang w:val="pt-BR"/>
        </w:rPr>
        <w:t xml:space="preserve"> ano significativa </w:t>
      </w:r>
      <w:proofErr w:type="gramStart"/>
      <w:r w:rsidR="004F4AE1">
        <w:rPr>
          <w:rFonts w:ascii="Arial" w:hAnsi="Arial"/>
          <w:bCs/>
          <w:color w:val="000000"/>
          <w:sz w:val="22"/>
          <w:szCs w:val="22"/>
          <w:u w:color="000000"/>
          <w:lang w:val="pt-BR"/>
        </w:rPr>
        <w:t>na</w:t>
      </w:r>
      <w:proofErr w:type="gramEnd"/>
      <w:r w:rsidR="004F4AE1">
        <w:rPr>
          <w:rFonts w:ascii="Arial" w:hAnsi="Arial"/>
          <w:bCs/>
          <w:color w:val="000000"/>
          <w:sz w:val="22"/>
          <w:szCs w:val="22"/>
          <w:u w:color="000000"/>
          <w:lang w:val="pt-BR"/>
        </w:rPr>
        <w:t xml:space="preserve"> dinâmica de produção ao longo do tempo. Essa interação é facilmente explicada pelas diferentes respostas do Tifton nos meses ao longo do ano, interagindo com o clima. Como o clima nos anos tende a ter particularidades, existe um efeito significativo do ano, resultando na interação positiva (P&lt;0,05). Para facilitar o entendimento os dados foram explorados anualmente, comparando a dinâmica produtiva dentro do ano e as produções mensais dentre os anos (Tabela 1). Observa-se que pelo Tifton ser uma espécie estival as produções mais elevadas ocorrem nos meses mais quentes, entre novembro e fevereiro. A partir de março, com a redução da temperatura ambiente e do solo, assim como a redução do </w:t>
      </w:r>
      <w:proofErr w:type="spellStart"/>
      <w:r w:rsidR="004F4AE1">
        <w:rPr>
          <w:rFonts w:ascii="Arial" w:hAnsi="Arial"/>
          <w:bCs/>
          <w:color w:val="000000"/>
          <w:sz w:val="22"/>
          <w:szCs w:val="22"/>
          <w:u w:color="000000"/>
          <w:lang w:val="pt-BR"/>
        </w:rPr>
        <w:t>fotoperíodo</w:t>
      </w:r>
      <w:proofErr w:type="spellEnd"/>
      <w:r w:rsidR="004F4AE1">
        <w:rPr>
          <w:rFonts w:ascii="Arial" w:hAnsi="Arial"/>
          <w:bCs/>
          <w:color w:val="000000"/>
          <w:sz w:val="22"/>
          <w:szCs w:val="22"/>
          <w:u w:color="000000"/>
          <w:lang w:val="pt-BR"/>
        </w:rPr>
        <w:t>, a pastagem responde reduzindo a sua produtividade, até atingir o mês de menor produção, que se dá entre julho e agosto. A produção do Tifton nos meses mais frios corresponde, em média, a 5,9% quando comparada as máximas produções dos meses quentes, indicando a grande dependência da cultura a temperatura e insolação</w:t>
      </w:r>
      <w:r w:rsidR="00DD161A">
        <w:rPr>
          <w:rFonts w:ascii="Arial" w:hAnsi="Arial"/>
          <w:bCs/>
          <w:color w:val="000000"/>
          <w:sz w:val="22"/>
          <w:szCs w:val="22"/>
          <w:u w:color="000000"/>
          <w:lang w:val="pt-BR"/>
        </w:rPr>
        <w:t xml:space="preserve">.  </w:t>
      </w:r>
      <w:r w:rsidR="00FF3CA3">
        <w:rPr>
          <w:rFonts w:ascii="Arial" w:hAnsi="Arial"/>
          <w:bCs/>
          <w:color w:val="000000"/>
          <w:sz w:val="22"/>
          <w:szCs w:val="22"/>
          <w:u w:color="000000"/>
          <w:lang w:val="pt-BR"/>
        </w:rPr>
        <w:t xml:space="preserve"> </w:t>
      </w:r>
    </w:p>
    <w:p w:rsidR="008F38D3" w:rsidRPr="00FF3CA3" w:rsidRDefault="006A1B54" w:rsidP="00FF3CA3">
      <w:pPr>
        <w:pStyle w:val="LO-normal"/>
        <w:spacing w:before="120" w:line="276" w:lineRule="auto"/>
        <w:ind w:left="23"/>
        <w:jc w:val="both"/>
        <w:rPr>
          <w:rFonts w:ascii="Arial" w:eastAsia="Arial" w:hAnsi="Arial" w:cs="Arial"/>
          <w:b/>
          <w:bCs/>
          <w:color w:val="000000"/>
          <w:sz w:val="20"/>
          <w:szCs w:val="20"/>
          <w:u w:color="000000"/>
          <w:lang w:val="pt-BR"/>
        </w:rPr>
      </w:pPr>
      <w:r w:rsidRPr="00FF3CA3">
        <w:rPr>
          <w:rFonts w:ascii="Arial" w:hAnsi="Arial"/>
          <w:b/>
          <w:bCs/>
          <w:color w:val="000000"/>
          <w:sz w:val="20"/>
          <w:szCs w:val="20"/>
          <w:u w:color="000000"/>
          <w:lang w:val="pt-BR"/>
        </w:rPr>
        <w:t xml:space="preserve">Tabela 1. </w:t>
      </w:r>
      <w:r w:rsidR="00FF3CA3">
        <w:rPr>
          <w:rFonts w:ascii="Arial" w:hAnsi="Arial"/>
          <w:b/>
          <w:bCs/>
          <w:color w:val="000000"/>
          <w:sz w:val="20"/>
          <w:szCs w:val="20"/>
          <w:u w:color="000000"/>
          <w:lang w:val="pt-BR"/>
        </w:rPr>
        <w:t>Produtividade de Tifton 85 manejado com cortes mensais em Chapecó, Santa Catarina, de 2019 a 2021</w:t>
      </w:r>
    </w:p>
    <w:tbl>
      <w:tblPr>
        <w:tblW w:w="5000" w:type="pct"/>
        <w:tblCellMar>
          <w:left w:w="70" w:type="dxa"/>
          <w:right w:w="70" w:type="dxa"/>
        </w:tblCellMar>
        <w:tblLook w:val="04A0" w:firstRow="1" w:lastRow="0" w:firstColumn="1" w:lastColumn="0" w:noHBand="0" w:noVBand="1"/>
      </w:tblPr>
      <w:tblGrid>
        <w:gridCol w:w="2308"/>
        <w:gridCol w:w="1329"/>
        <w:gridCol w:w="1330"/>
        <w:gridCol w:w="1330"/>
        <w:gridCol w:w="1330"/>
        <w:gridCol w:w="1437"/>
      </w:tblGrid>
      <w:tr w:rsidR="00FF3CA3" w:rsidRPr="00FF3CA3" w:rsidTr="00C17CB1">
        <w:trPr>
          <w:trHeight w:val="576"/>
        </w:trPr>
        <w:tc>
          <w:tcPr>
            <w:tcW w:w="1251" w:type="pct"/>
            <w:vMerge w:val="restart"/>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Mês</w:t>
            </w:r>
          </w:p>
        </w:tc>
        <w:tc>
          <w:tcPr>
            <w:tcW w:w="2952" w:type="pct"/>
            <w:gridSpan w:val="4"/>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 xml:space="preserve">Produção mensal </w:t>
            </w:r>
            <w:r w:rsidRPr="00FF3CA3">
              <w:rPr>
                <w:rFonts w:ascii="Arial" w:eastAsia="Times New Roman" w:hAnsi="Arial" w:cs="Arial"/>
                <w:color w:val="000000"/>
                <w:lang w:val="pt-BR" w:eastAsia="pt-BR"/>
              </w:rPr>
              <w:t xml:space="preserve">de </w:t>
            </w:r>
            <w:r w:rsidRPr="00AA1CA5">
              <w:rPr>
                <w:rFonts w:ascii="Arial" w:eastAsia="Times New Roman" w:hAnsi="Arial" w:cs="Arial"/>
                <w:color w:val="000000"/>
                <w:lang w:val="pt-BR" w:eastAsia="pt-BR"/>
              </w:rPr>
              <w:t>Tifton 85</w:t>
            </w:r>
          </w:p>
        </w:tc>
        <w:tc>
          <w:tcPr>
            <w:tcW w:w="797" w:type="pct"/>
            <w:vMerge w:val="restart"/>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Média</w:t>
            </w:r>
          </w:p>
        </w:tc>
      </w:tr>
      <w:tr w:rsidR="00FF3CA3" w:rsidRPr="00FF3CA3" w:rsidTr="00C17CB1">
        <w:trPr>
          <w:trHeight w:val="288"/>
        </w:trPr>
        <w:tc>
          <w:tcPr>
            <w:tcW w:w="1251" w:type="pct"/>
            <w:vMerge/>
            <w:tcBorders>
              <w:top w:val="single" w:sz="4" w:space="0" w:color="auto"/>
              <w:left w:val="nil"/>
              <w:bottom w:val="single" w:sz="4" w:space="0" w:color="auto"/>
              <w:right w:val="nil"/>
            </w:tcBorders>
            <w:vAlign w:val="center"/>
            <w:hideMark/>
          </w:tcPr>
          <w:p w:rsidR="00FF3CA3" w:rsidRPr="00AA1CA5" w:rsidRDefault="00FF3CA3" w:rsidP="00C17CB1">
            <w:pPr>
              <w:spacing w:after="40"/>
              <w:rPr>
                <w:rFonts w:ascii="Arial" w:eastAsia="Times New Roman" w:hAnsi="Arial" w:cs="Arial"/>
                <w:color w:val="000000"/>
                <w:lang w:val="pt-BR" w:eastAsia="pt-BR"/>
              </w:rPr>
            </w:pPr>
          </w:p>
        </w:tc>
        <w:tc>
          <w:tcPr>
            <w:tcW w:w="738" w:type="pct"/>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2018</w:t>
            </w:r>
          </w:p>
        </w:tc>
        <w:tc>
          <w:tcPr>
            <w:tcW w:w="738" w:type="pct"/>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2019</w:t>
            </w:r>
          </w:p>
        </w:tc>
        <w:tc>
          <w:tcPr>
            <w:tcW w:w="738" w:type="pct"/>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2020</w:t>
            </w:r>
          </w:p>
        </w:tc>
        <w:tc>
          <w:tcPr>
            <w:tcW w:w="738" w:type="pct"/>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2021</w:t>
            </w:r>
          </w:p>
        </w:tc>
        <w:tc>
          <w:tcPr>
            <w:tcW w:w="797" w:type="pct"/>
            <w:vMerge/>
            <w:tcBorders>
              <w:top w:val="single" w:sz="4" w:space="0" w:color="auto"/>
              <w:left w:val="nil"/>
              <w:bottom w:val="single" w:sz="4" w:space="0" w:color="auto"/>
              <w:right w:val="nil"/>
            </w:tcBorders>
            <w:vAlign w:val="center"/>
            <w:hideMark/>
          </w:tcPr>
          <w:p w:rsidR="00FF3CA3" w:rsidRPr="00AA1CA5" w:rsidRDefault="00FF3CA3" w:rsidP="00C17CB1">
            <w:pPr>
              <w:spacing w:after="40"/>
              <w:rPr>
                <w:rFonts w:ascii="Arial" w:eastAsia="Times New Roman" w:hAnsi="Arial" w:cs="Arial"/>
                <w:color w:val="000000"/>
                <w:lang w:val="pt-BR" w:eastAsia="pt-BR"/>
              </w:rPr>
            </w:pPr>
          </w:p>
        </w:tc>
      </w:tr>
      <w:tr w:rsidR="00FF3CA3" w:rsidRPr="00FF3CA3" w:rsidTr="00C17CB1">
        <w:trPr>
          <w:trHeight w:val="288"/>
        </w:trPr>
        <w:tc>
          <w:tcPr>
            <w:tcW w:w="1251" w:type="pct"/>
            <w:tcBorders>
              <w:top w:val="single" w:sz="4" w:space="0" w:color="auto"/>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Janeiro</w:t>
            </w:r>
          </w:p>
        </w:tc>
        <w:tc>
          <w:tcPr>
            <w:tcW w:w="738" w:type="pct"/>
            <w:tcBorders>
              <w:top w:val="single" w:sz="4" w:space="0" w:color="auto"/>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4890</w:t>
            </w:r>
            <w:r w:rsidRPr="00FF3CA3">
              <w:rPr>
                <w:rFonts w:ascii="Arial" w:eastAsia="Times New Roman" w:hAnsi="Arial" w:cs="Arial"/>
                <w:color w:val="000000"/>
                <w:vertAlign w:val="superscript"/>
                <w:lang w:val="pt-BR" w:eastAsia="pt-BR"/>
              </w:rPr>
              <w:t>A</w:t>
            </w:r>
            <w:r w:rsidRPr="00FF3CA3">
              <w:rPr>
                <w:rFonts w:ascii="Arial" w:eastAsia="Times New Roman" w:hAnsi="Arial" w:cs="Arial"/>
                <w:color w:val="000000"/>
                <w:vertAlign w:val="subscript"/>
                <w:lang w:val="pt-BR" w:eastAsia="pt-BR"/>
              </w:rPr>
              <w:t>a</w:t>
            </w:r>
          </w:p>
        </w:tc>
        <w:tc>
          <w:tcPr>
            <w:tcW w:w="738" w:type="pct"/>
            <w:tcBorders>
              <w:top w:val="single" w:sz="4" w:space="0" w:color="auto"/>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4950</w:t>
            </w:r>
            <w:r w:rsidRPr="00FF3CA3">
              <w:rPr>
                <w:rFonts w:ascii="Arial" w:eastAsia="Times New Roman" w:hAnsi="Arial" w:cs="Arial"/>
                <w:color w:val="000000"/>
                <w:vertAlign w:val="superscript"/>
                <w:lang w:val="pt-BR" w:eastAsia="pt-BR"/>
              </w:rPr>
              <w:t>A</w:t>
            </w:r>
            <w:r w:rsidRPr="00FF3CA3">
              <w:rPr>
                <w:rFonts w:ascii="Arial" w:eastAsia="Times New Roman" w:hAnsi="Arial" w:cs="Arial"/>
                <w:color w:val="000000"/>
                <w:vertAlign w:val="subscript"/>
                <w:lang w:val="pt-BR" w:eastAsia="pt-BR"/>
              </w:rPr>
              <w:t>a</w:t>
            </w:r>
          </w:p>
        </w:tc>
        <w:tc>
          <w:tcPr>
            <w:tcW w:w="738" w:type="pct"/>
            <w:tcBorders>
              <w:top w:val="single" w:sz="4" w:space="0" w:color="auto"/>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4500</w:t>
            </w:r>
            <w:r w:rsidRPr="00FF3CA3">
              <w:rPr>
                <w:rFonts w:ascii="Arial" w:eastAsia="Times New Roman" w:hAnsi="Arial" w:cs="Arial"/>
                <w:color w:val="000000"/>
                <w:vertAlign w:val="superscript"/>
                <w:lang w:val="pt-BR" w:eastAsia="pt-BR"/>
              </w:rPr>
              <w:t>A</w:t>
            </w:r>
            <w:r w:rsidRPr="00FF3CA3">
              <w:rPr>
                <w:rFonts w:ascii="Arial" w:eastAsia="Times New Roman" w:hAnsi="Arial" w:cs="Arial"/>
                <w:color w:val="000000"/>
                <w:vertAlign w:val="subscript"/>
                <w:lang w:val="pt-BR" w:eastAsia="pt-BR"/>
              </w:rPr>
              <w:t>a</w:t>
            </w:r>
          </w:p>
        </w:tc>
        <w:tc>
          <w:tcPr>
            <w:tcW w:w="738" w:type="pct"/>
            <w:tcBorders>
              <w:top w:val="single" w:sz="4" w:space="0" w:color="auto"/>
              <w:left w:val="nil"/>
              <w:bottom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2820</w:t>
            </w:r>
            <w:r w:rsidRPr="00FF3CA3">
              <w:rPr>
                <w:rFonts w:ascii="Arial" w:eastAsia="Times New Roman" w:hAnsi="Arial" w:cs="Arial"/>
                <w:color w:val="000000"/>
                <w:vertAlign w:val="superscript"/>
                <w:lang w:val="pt-BR" w:eastAsia="pt-BR"/>
              </w:rPr>
              <w:t>C</w:t>
            </w:r>
            <w:r w:rsidRPr="00FF3CA3">
              <w:rPr>
                <w:rFonts w:ascii="Arial" w:eastAsia="Times New Roman" w:hAnsi="Arial" w:cs="Arial"/>
                <w:color w:val="000000"/>
                <w:vertAlign w:val="subscript"/>
                <w:lang w:val="pt-BR" w:eastAsia="pt-BR"/>
              </w:rPr>
              <w:t>b</w:t>
            </w:r>
          </w:p>
        </w:tc>
        <w:tc>
          <w:tcPr>
            <w:tcW w:w="797" w:type="pct"/>
            <w:tcBorders>
              <w:top w:val="single" w:sz="4" w:space="0" w:color="auto"/>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4290</w:t>
            </w:r>
            <w:r w:rsidRPr="00FF3CA3">
              <w:rPr>
                <w:rFonts w:ascii="Arial" w:eastAsia="Times New Roman" w:hAnsi="Arial" w:cs="Arial"/>
                <w:color w:val="000000"/>
                <w:vertAlign w:val="superscript"/>
                <w:lang w:val="pt-BR" w:eastAsia="pt-BR"/>
              </w:rPr>
              <w:t>A</w:t>
            </w:r>
          </w:p>
        </w:tc>
      </w:tr>
      <w:tr w:rsidR="00FF3CA3" w:rsidRPr="00FF3CA3" w:rsidTr="00C17CB1">
        <w:trPr>
          <w:trHeight w:val="288"/>
        </w:trPr>
        <w:tc>
          <w:tcPr>
            <w:tcW w:w="1251" w:type="pct"/>
            <w:tcBorders>
              <w:top w:val="nil"/>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Fevereiro</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3668</w:t>
            </w:r>
            <w:r w:rsidRPr="00FF3CA3">
              <w:rPr>
                <w:rFonts w:ascii="Arial" w:eastAsia="Times New Roman" w:hAnsi="Arial" w:cs="Arial"/>
                <w:color w:val="000000"/>
                <w:vertAlign w:val="superscript"/>
                <w:lang w:val="pt-BR" w:eastAsia="pt-BR"/>
              </w:rPr>
              <w:t>B</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3052</w:t>
            </w:r>
            <w:r w:rsidRPr="00FF3CA3">
              <w:rPr>
                <w:rFonts w:ascii="Arial" w:eastAsia="Times New Roman" w:hAnsi="Arial" w:cs="Arial"/>
                <w:color w:val="000000"/>
                <w:vertAlign w:val="superscript"/>
                <w:lang w:val="pt-BR" w:eastAsia="pt-BR"/>
              </w:rPr>
              <w:t>B</w:t>
            </w:r>
            <w:r w:rsidRPr="00FF3CA3">
              <w:rPr>
                <w:rFonts w:ascii="Arial" w:eastAsia="Times New Roman" w:hAnsi="Arial" w:cs="Arial"/>
                <w:color w:val="000000"/>
                <w:vertAlign w:val="subscript"/>
                <w:lang w:val="pt-BR" w:eastAsia="pt-BR"/>
              </w:rPr>
              <w:t>b</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3388</w:t>
            </w:r>
            <w:r w:rsidRPr="00FF3CA3">
              <w:rPr>
                <w:rFonts w:ascii="Arial" w:eastAsia="Times New Roman" w:hAnsi="Arial" w:cs="Arial"/>
                <w:color w:val="000000"/>
                <w:vertAlign w:val="superscript"/>
                <w:lang w:val="pt-BR" w:eastAsia="pt-BR"/>
              </w:rPr>
              <w:t>B</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3192</w:t>
            </w:r>
            <w:r w:rsidRPr="00FF3CA3">
              <w:rPr>
                <w:rFonts w:ascii="Arial" w:eastAsia="Times New Roman" w:hAnsi="Arial" w:cs="Arial"/>
                <w:color w:val="000000"/>
                <w:vertAlign w:val="superscript"/>
                <w:lang w:val="pt-BR" w:eastAsia="pt-BR"/>
              </w:rPr>
              <w:t>B</w:t>
            </w:r>
            <w:r w:rsidRPr="00FF3CA3">
              <w:rPr>
                <w:rFonts w:ascii="Arial" w:eastAsia="Times New Roman" w:hAnsi="Arial" w:cs="Arial"/>
                <w:color w:val="000000"/>
                <w:vertAlign w:val="subscript"/>
                <w:lang w:val="pt-BR" w:eastAsia="pt-BR"/>
              </w:rPr>
              <w:t>ab</w:t>
            </w:r>
          </w:p>
        </w:tc>
        <w:tc>
          <w:tcPr>
            <w:tcW w:w="797" w:type="pct"/>
            <w:tcBorders>
              <w:top w:val="nil"/>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3325</w:t>
            </w:r>
            <w:r w:rsidRPr="00FF3CA3">
              <w:rPr>
                <w:rFonts w:ascii="Arial" w:eastAsia="Times New Roman" w:hAnsi="Arial" w:cs="Arial"/>
                <w:color w:val="000000"/>
                <w:vertAlign w:val="superscript"/>
                <w:lang w:val="pt-BR" w:eastAsia="pt-BR"/>
              </w:rPr>
              <w:t>B</w:t>
            </w:r>
          </w:p>
        </w:tc>
      </w:tr>
      <w:tr w:rsidR="00FF3CA3" w:rsidRPr="00FF3CA3" w:rsidTr="00C17CB1">
        <w:trPr>
          <w:trHeight w:val="288"/>
        </w:trPr>
        <w:tc>
          <w:tcPr>
            <w:tcW w:w="1251" w:type="pct"/>
            <w:tcBorders>
              <w:top w:val="nil"/>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Março</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2550</w:t>
            </w:r>
            <w:r w:rsidRPr="00FF3CA3">
              <w:rPr>
                <w:rFonts w:ascii="Arial" w:eastAsia="Times New Roman" w:hAnsi="Arial" w:cs="Arial"/>
                <w:color w:val="000000"/>
                <w:vertAlign w:val="superscript"/>
                <w:lang w:val="pt-BR" w:eastAsia="pt-BR"/>
              </w:rPr>
              <w:t>C</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2700</w:t>
            </w:r>
            <w:r w:rsidRPr="00FF3CA3">
              <w:rPr>
                <w:rFonts w:ascii="Arial" w:eastAsia="Times New Roman" w:hAnsi="Arial" w:cs="Arial"/>
                <w:color w:val="000000"/>
                <w:vertAlign w:val="superscript"/>
                <w:lang w:val="pt-BR" w:eastAsia="pt-BR"/>
              </w:rPr>
              <w:t>C</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2730</w:t>
            </w:r>
            <w:r w:rsidRPr="00FF3CA3">
              <w:rPr>
                <w:rFonts w:ascii="Arial" w:eastAsia="Times New Roman" w:hAnsi="Arial" w:cs="Arial"/>
                <w:color w:val="000000"/>
                <w:vertAlign w:val="superscript"/>
                <w:lang w:val="pt-BR" w:eastAsia="pt-BR"/>
              </w:rPr>
              <w:t>C</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2850</w:t>
            </w:r>
            <w:r w:rsidRPr="00FF3CA3">
              <w:rPr>
                <w:rFonts w:ascii="Arial" w:eastAsia="Times New Roman" w:hAnsi="Arial" w:cs="Arial"/>
                <w:color w:val="000000"/>
                <w:vertAlign w:val="superscript"/>
                <w:lang w:val="pt-BR" w:eastAsia="pt-BR"/>
              </w:rPr>
              <w:t>C</w:t>
            </w:r>
            <w:r w:rsidRPr="00FF3CA3">
              <w:rPr>
                <w:rFonts w:ascii="Arial" w:eastAsia="Times New Roman" w:hAnsi="Arial" w:cs="Arial"/>
                <w:color w:val="000000"/>
                <w:vertAlign w:val="subscript"/>
                <w:lang w:val="pt-BR" w:eastAsia="pt-BR"/>
              </w:rPr>
              <w:t>a</w:t>
            </w:r>
          </w:p>
        </w:tc>
        <w:tc>
          <w:tcPr>
            <w:tcW w:w="797" w:type="pct"/>
            <w:tcBorders>
              <w:top w:val="nil"/>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FF3CA3">
              <w:rPr>
                <w:rFonts w:ascii="Arial" w:eastAsia="Times New Roman" w:hAnsi="Arial" w:cs="Arial"/>
                <w:color w:val="000000"/>
                <w:lang w:val="pt-BR" w:eastAsia="pt-BR"/>
              </w:rPr>
              <w:t>2707</w:t>
            </w:r>
            <w:r w:rsidRPr="00FF3CA3">
              <w:rPr>
                <w:rFonts w:ascii="Arial" w:eastAsia="Times New Roman" w:hAnsi="Arial" w:cs="Arial"/>
                <w:color w:val="000000"/>
                <w:vertAlign w:val="superscript"/>
                <w:lang w:val="pt-BR" w:eastAsia="pt-BR"/>
              </w:rPr>
              <w:t>C</w:t>
            </w:r>
          </w:p>
        </w:tc>
      </w:tr>
      <w:tr w:rsidR="00FF3CA3" w:rsidRPr="00FF3CA3" w:rsidTr="00C17CB1">
        <w:trPr>
          <w:trHeight w:val="288"/>
        </w:trPr>
        <w:tc>
          <w:tcPr>
            <w:tcW w:w="1251" w:type="pct"/>
            <w:tcBorders>
              <w:top w:val="nil"/>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Abril</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1829</w:t>
            </w:r>
            <w:r w:rsidRPr="00FF3CA3">
              <w:rPr>
                <w:rFonts w:ascii="Arial" w:eastAsia="Times New Roman" w:hAnsi="Arial" w:cs="Arial"/>
                <w:color w:val="000000"/>
                <w:vertAlign w:val="superscript"/>
                <w:lang w:val="pt-BR" w:eastAsia="pt-BR"/>
              </w:rPr>
              <w:t>D</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1085</w:t>
            </w:r>
            <w:r w:rsidRPr="00FF3CA3">
              <w:rPr>
                <w:rFonts w:ascii="Arial" w:eastAsia="Times New Roman" w:hAnsi="Arial" w:cs="Arial"/>
                <w:color w:val="000000"/>
                <w:vertAlign w:val="superscript"/>
                <w:lang w:val="pt-BR" w:eastAsia="pt-BR"/>
              </w:rPr>
              <w:t>D</w:t>
            </w:r>
            <w:r w:rsidRPr="00FF3CA3">
              <w:rPr>
                <w:rFonts w:ascii="Arial" w:eastAsia="Times New Roman" w:hAnsi="Arial" w:cs="Arial"/>
                <w:color w:val="000000"/>
                <w:vertAlign w:val="subscript"/>
                <w:lang w:val="pt-BR" w:eastAsia="pt-BR"/>
              </w:rPr>
              <w:t>b</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1302</w:t>
            </w:r>
            <w:r w:rsidRPr="00FF3CA3">
              <w:rPr>
                <w:rFonts w:ascii="Arial" w:eastAsia="Times New Roman" w:hAnsi="Arial" w:cs="Arial"/>
                <w:color w:val="000000"/>
                <w:vertAlign w:val="superscript"/>
                <w:lang w:val="pt-BR" w:eastAsia="pt-BR"/>
              </w:rPr>
              <w:t>F</w:t>
            </w:r>
            <w:r w:rsidRPr="00FF3CA3">
              <w:rPr>
                <w:rFonts w:ascii="Arial" w:eastAsia="Times New Roman" w:hAnsi="Arial" w:cs="Arial"/>
                <w:color w:val="000000"/>
                <w:vertAlign w:val="subscript"/>
                <w:lang w:val="pt-BR" w:eastAsia="pt-BR"/>
              </w:rPr>
              <w:t>b</w:t>
            </w:r>
          </w:p>
        </w:tc>
        <w:tc>
          <w:tcPr>
            <w:tcW w:w="738" w:type="pct"/>
            <w:tcBorders>
              <w:top w:val="nil"/>
              <w:left w:val="nil"/>
              <w:bottom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1612</w:t>
            </w:r>
            <w:r w:rsidRPr="00FF3CA3">
              <w:rPr>
                <w:rFonts w:ascii="Arial" w:eastAsia="Times New Roman" w:hAnsi="Arial" w:cs="Arial"/>
                <w:color w:val="000000"/>
                <w:vertAlign w:val="superscript"/>
                <w:lang w:val="pt-BR" w:eastAsia="pt-BR"/>
              </w:rPr>
              <w:t>D</w:t>
            </w:r>
            <w:r w:rsidRPr="00FF3CA3">
              <w:rPr>
                <w:rFonts w:ascii="Arial" w:eastAsia="Times New Roman" w:hAnsi="Arial" w:cs="Arial"/>
                <w:color w:val="000000"/>
                <w:vertAlign w:val="subscript"/>
                <w:lang w:val="pt-BR" w:eastAsia="pt-BR"/>
              </w:rPr>
              <w:t>a</w:t>
            </w:r>
          </w:p>
        </w:tc>
        <w:tc>
          <w:tcPr>
            <w:tcW w:w="797" w:type="pct"/>
            <w:tcBorders>
              <w:top w:val="nil"/>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1457</w:t>
            </w:r>
            <w:r w:rsidRPr="00FF3CA3">
              <w:rPr>
                <w:rFonts w:ascii="Arial" w:eastAsia="Times New Roman" w:hAnsi="Arial" w:cs="Arial"/>
                <w:color w:val="000000"/>
                <w:vertAlign w:val="superscript"/>
                <w:lang w:val="pt-BR" w:eastAsia="pt-BR"/>
              </w:rPr>
              <w:t>D</w:t>
            </w:r>
          </w:p>
        </w:tc>
      </w:tr>
      <w:tr w:rsidR="00FF3CA3" w:rsidRPr="00FF3CA3" w:rsidTr="00C17CB1">
        <w:trPr>
          <w:trHeight w:val="288"/>
        </w:trPr>
        <w:tc>
          <w:tcPr>
            <w:tcW w:w="1251" w:type="pct"/>
            <w:tcBorders>
              <w:top w:val="nil"/>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Maio</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900</w:t>
            </w:r>
            <w:r w:rsidRPr="00FF3CA3">
              <w:rPr>
                <w:rFonts w:ascii="Arial" w:eastAsia="Times New Roman" w:hAnsi="Arial" w:cs="Arial"/>
                <w:color w:val="000000"/>
                <w:vertAlign w:val="superscript"/>
                <w:lang w:val="pt-BR" w:eastAsia="pt-BR"/>
              </w:rPr>
              <w:t>E</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1020</w:t>
            </w:r>
            <w:r w:rsidRPr="00FF3CA3">
              <w:rPr>
                <w:rFonts w:ascii="Arial" w:eastAsia="Times New Roman" w:hAnsi="Arial" w:cs="Arial"/>
                <w:color w:val="000000"/>
                <w:vertAlign w:val="superscript"/>
                <w:lang w:val="pt-BR" w:eastAsia="pt-BR"/>
              </w:rPr>
              <w:t>D</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960</w:t>
            </w:r>
            <w:r w:rsidRPr="00FF3CA3">
              <w:rPr>
                <w:rFonts w:ascii="Arial" w:eastAsia="Times New Roman" w:hAnsi="Arial" w:cs="Arial"/>
                <w:color w:val="000000"/>
                <w:vertAlign w:val="superscript"/>
                <w:lang w:val="pt-BR" w:eastAsia="pt-BR"/>
              </w:rPr>
              <w:t>F</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900</w:t>
            </w:r>
            <w:r w:rsidRPr="00FF3CA3">
              <w:rPr>
                <w:rFonts w:ascii="Arial" w:eastAsia="Times New Roman" w:hAnsi="Arial" w:cs="Arial"/>
                <w:color w:val="000000"/>
                <w:vertAlign w:val="superscript"/>
                <w:lang w:val="pt-BR" w:eastAsia="pt-BR"/>
              </w:rPr>
              <w:t>E</w:t>
            </w:r>
            <w:r w:rsidRPr="00FF3CA3">
              <w:rPr>
                <w:rFonts w:ascii="Arial" w:eastAsia="Times New Roman" w:hAnsi="Arial" w:cs="Arial"/>
                <w:color w:val="000000"/>
                <w:vertAlign w:val="subscript"/>
                <w:lang w:val="pt-BR" w:eastAsia="pt-BR"/>
              </w:rPr>
              <w:t>a</w:t>
            </w:r>
          </w:p>
        </w:tc>
        <w:tc>
          <w:tcPr>
            <w:tcW w:w="797" w:type="pct"/>
            <w:tcBorders>
              <w:top w:val="nil"/>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945</w:t>
            </w:r>
            <w:r w:rsidRPr="00FF3CA3">
              <w:rPr>
                <w:rFonts w:ascii="Arial" w:eastAsia="Times New Roman" w:hAnsi="Arial" w:cs="Arial"/>
                <w:color w:val="000000"/>
                <w:vertAlign w:val="superscript"/>
                <w:lang w:val="pt-BR" w:eastAsia="pt-BR"/>
              </w:rPr>
              <w:t>E</w:t>
            </w:r>
          </w:p>
        </w:tc>
      </w:tr>
      <w:tr w:rsidR="00FF3CA3" w:rsidRPr="00FF3CA3" w:rsidTr="00C17CB1">
        <w:trPr>
          <w:trHeight w:val="288"/>
        </w:trPr>
        <w:tc>
          <w:tcPr>
            <w:tcW w:w="1251" w:type="pct"/>
            <w:tcBorders>
              <w:top w:val="nil"/>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Junho</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465</w:t>
            </w:r>
            <w:r w:rsidRPr="00FF3CA3">
              <w:rPr>
                <w:rFonts w:ascii="Arial" w:eastAsia="Times New Roman" w:hAnsi="Arial" w:cs="Arial"/>
                <w:color w:val="000000"/>
                <w:vertAlign w:val="superscript"/>
                <w:lang w:val="pt-BR" w:eastAsia="pt-BR"/>
              </w:rPr>
              <w:t>F</w:t>
            </w:r>
            <w:r w:rsidRPr="00FF3CA3">
              <w:rPr>
                <w:rFonts w:ascii="Arial" w:eastAsia="Times New Roman" w:hAnsi="Arial" w:cs="Arial"/>
                <w:color w:val="000000"/>
                <w:vertAlign w:val="subscript"/>
                <w:lang w:val="pt-BR" w:eastAsia="pt-BR"/>
              </w:rPr>
              <w:t>b</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930</w:t>
            </w:r>
            <w:r w:rsidRPr="00FF3CA3">
              <w:rPr>
                <w:rFonts w:ascii="Arial" w:eastAsia="Times New Roman" w:hAnsi="Arial" w:cs="Arial"/>
                <w:color w:val="000000"/>
                <w:vertAlign w:val="superscript"/>
                <w:lang w:val="pt-BR" w:eastAsia="pt-BR"/>
              </w:rPr>
              <w:t>E</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775</w:t>
            </w:r>
            <w:r w:rsidRPr="00FF3CA3">
              <w:rPr>
                <w:rFonts w:ascii="Arial" w:eastAsia="Times New Roman" w:hAnsi="Arial" w:cs="Arial"/>
                <w:color w:val="000000"/>
                <w:vertAlign w:val="superscript"/>
                <w:lang w:val="pt-BR" w:eastAsia="pt-BR"/>
              </w:rPr>
              <w:t>G</w:t>
            </w:r>
            <w:r w:rsidRPr="00FF3CA3">
              <w:rPr>
                <w:rFonts w:ascii="Arial" w:eastAsia="Times New Roman" w:hAnsi="Arial" w:cs="Arial"/>
                <w:color w:val="000000"/>
                <w:vertAlign w:val="subscript"/>
                <w:lang w:val="pt-BR" w:eastAsia="pt-BR"/>
              </w:rPr>
              <w:t>ab</w:t>
            </w:r>
          </w:p>
        </w:tc>
        <w:tc>
          <w:tcPr>
            <w:tcW w:w="738" w:type="pct"/>
            <w:tcBorders>
              <w:top w:val="nil"/>
              <w:left w:val="nil"/>
              <w:bottom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744</w:t>
            </w:r>
            <w:r w:rsidRPr="00FF3CA3">
              <w:rPr>
                <w:rFonts w:ascii="Arial" w:eastAsia="Times New Roman" w:hAnsi="Arial" w:cs="Arial"/>
                <w:color w:val="000000"/>
                <w:vertAlign w:val="superscript"/>
                <w:lang w:val="pt-BR" w:eastAsia="pt-BR"/>
              </w:rPr>
              <w:t>E</w:t>
            </w:r>
            <w:r w:rsidRPr="00FF3CA3">
              <w:rPr>
                <w:rFonts w:ascii="Arial" w:eastAsia="Times New Roman" w:hAnsi="Arial" w:cs="Arial"/>
                <w:color w:val="000000"/>
                <w:vertAlign w:val="subscript"/>
                <w:lang w:val="pt-BR" w:eastAsia="pt-BR"/>
              </w:rPr>
              <w:t>ab</w:t>
            </w:r>
          </w:p>
        </w:tc>
        <w:tc>
          <w:tcPr>
            <w:tcW w:w="797" w:type="pct"/>
            <w:tcBorders>
              <w:top w:val="nil"/>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FF3CA3">
              <w:rPr>
                <w:rFonts w:ascii="Arial" w:eastAsia="Times New Roman" w:hAnsi="Arial" w:cs="Arial"/>
                <w:color w:val="000000"/>
                <w:lang w:val="pt-BR" w:eastAsia="pt-BR"/>
              </w:rPr>
              <w:t>728</w:t>
            </w:r>
            <w:r w:rsidRPr="00FF3CA3">
              <w:rPr>
                <w:rFonts w:ascii="Arial" w:eastAsia="Times New Roman" w:hAnsi="Arial" w:cs="Arial"/>
                <w:color w:val="000000"/>
                <w:vertAlign w:val="superscript"/>
                <w:lang w:val="pt-BR" w:eastAsia="pt-BR"/>
              </w:rPr>
              <w:t>E</w:t>
            </w:r>
          </w:p>
        </w:tc>
      </w:tr>
      <w:tr w:rsidR="00FF3CA3" w:rsidRPr="00FF3CA3" w:rsidTr="00C17CB1">
        <w:trPr>
          <w:trHeight w:val="288"/>
        </w:trPr>
        <w:tc>
          <w:tcPr>
            <w:tcW w:w="1251" w:type="pct"/>
            <w:tcBorders>
              <w:top w:val="nil"/>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Julho</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300</w:t>
            </w:r>
            <w:r w:rsidRPr="00FF3CA3">
              <w:rPr>
                <w:rFonts w:ascii="Arial" w:eastAsia="Times New Roman" w:hAnsi="Arial" w:cs="Arial"/>
                <w:color w:val="000000"/>
                <w:vertAlign w:val="superscript"/>
                <w:lang w:val="pt-BR" w:eastAsia="pt-BR"/>
              </w:rPr>
              <w:t>G</w:t>
            </w:r>
            <w:r w:rsidRPr="00FF3CA3">
              <w:rPr>
                <w:rFonts w:ascii="Arial" w:eastAsia="Times New Roman" w:hAnsi="Arial" w:cs="Arial"/>
                <w:color w:val="000000"/>
                <w:vertAlign w:val="subscript"/>
                <w:lang w:val="pt-BR" w:eastAsia="pt-BR"/>
              </w:rPr>
              <w:t>b</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660</w:t>
            </w:r>
            <w:r w:rsidRPr="00FF3CA3">
              <w:rPr>
                <w:rFonts w:ascii="Arial" w:eastAsia="Times New Roman" w:hAnsi="Arial" w:cs="Arial"/>
                <w:color w:val="000000"/>
                <w:vertAlign w:val="superscript"/>
                <w:lang w:val="pt-BR" w:eastAsia="pt-BR"/>
              </w:rPr>
              <w:t>E</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510</w:t>
            </w:r>
            <w:r w:rsidRPr="00FF3CA3">
              <w:rPr>
                <w:rFonts w:ascii="Arial" w:eastAsia="Times New Roman" w:hAnsi="Arial" w:cs="Arial"/>
                <w:color w:val="000000"/>
                <w:vertAlign w:val="superscript"/>
                <w:lang w:val="pt-BR" w:eastAsia="pt-BR"/>
              </w:rPr>
              <w:t>G</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420</w:t>
            </w:r>
            <w:r w:rsidRPr="00FF3CA3">
              <w:rPr>
                <w:rFonts w:ascii="Arial" w:eastAsia="Times New Roman" w:hAnsi="Arial" w:cs="Arial"/>
                <w:color w:val="000000"/>
                <w:vertAlign w:val="superscript"/>
                <w:lang w:val="pt-BR" w:eastAsia="pt-BR"/>
              </w:rPr>
              <w:t>F</w:t>
            </w:r>
            <w:r w:rsidRPr="00FF3CA3">
              <w:rPr>
                <w:rFonts w:ascii="Arial" w:eastAsia="Times New Roman" w:hAnsi="Arial" w:cs="Arial"/>
                <w:color w:val="000000"/>
                <w:vertAlign w:val="subscript"/>
                <w:lang w:val="pt-BR" w:eastAsia="pt-BR"/>
              </w:rPr>
              <w:t>ab</w:t>
            </w:r>
          </w:p>
        </w:tc>
        <w:tc>
          <w:tcPr>
            <w:tcW w:w="797" w:type="pct"/>
            <w:tcBorders>
              <w:top w:val="nil"/>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FF3CA3">
              <w:rPr>
                <w:rFonts w:ascii="Arial" w:eastAsia="Times New Roman" w:hAnsi="Arial" w:cs="Arial"/>
                <w:color w:val="000000"/>
                <w:lang w:val="pt-BR" w:eastAsia="pt-BR"/>
              </w:rPr>
              <w:t>472</w:t>
            </w:r>
            <w:r w:rsidRPr="00FF3CA3">
              <w:rPr>
                <w:rFonts w:ascii="Arial" w:eastAsia="Times New Roman" w:hAnsi="Arial" w:cs="Arial"/>
                <w:color w:val="000000"/>
                <w:vertAlign w:val="superscript"/>
                <w:lang w:val="pt-BR" w:eastAsia="pt-BR"/>
              </w:rPr>
              <w:t>F</w:t>
            </w:r>
          </w:p>
        </w:tc>
      </w:tr>
      <w:tr w:rsidR="00FF3CA3" w:rsidRPr="00FF3CA3" w:rsidTr="00C17CB1">
        <w:trPr>
          <w:trHeight w:val="288"/>
        </w:trPr>
        <w:tc>
          <w:tcPr>
            <w:tcW w:w="1251" w:type="pct"/>
            <w:tcBorders>
              <w:top w:val="nil"/>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Agosto</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210</w:t>
            </w:r>
            <w:r w:rsidRPr="00FF3CA3">
              <w:rPr>
                <w:rFonts w:ascii="Arial" w:eastAsia="Times New Roman" w:hAnsi="Arial" w:cs="Arial"/>
                <w:color w:val="000000"/>
                <w:vertAlign w:val="superscript"/>
                <w:lang w:val="pt-BR" w:eastAsia="pt-BR"/>
              </w:rPr>
              <w:t>G</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360</w:t>
            </w:r>
            <w:r w:rsidRPr="00FF3CA3">
              <w:rPr>
                <w:rFonts w:ascii="Arial" w:eastAsia="Times New Roman" w:hAnsi="Arial" w:cs="Arial"/>
                <w:color w:val="000000"/>
                <w:vertAlign w:val="superscript"/>
                <w:lang w:val="pt-BR" w:eastAsia="pt-BR"/>
              </w:rPr>
              <w:t>F</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270</w:t>
            </w:r>
            <w:r w:rsidRPr="00FF3CA3">
              <w:rPr>
                <w:rFonts w:ascii="Arial" w:eastAsia="Times New Roman" w:hAnsi="Arial" w:cs="Arial"/>
                <w:color w:val="000000"/>
                <w:vertAlign w:val="superscript"/>
                <w:lang w:val="pt-BR" w:eastAsia="pt-BR"/>
              </w:rPr>
              <w:t>H</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240</w:t>
            </w:r>
            <w:r w:rsidRPr="00FF3CA3">
              <w:rPr>
                <w:rFonts w:ascii="Arial" w:eastAsia="Times New Roman" w:hAnsi="Arial" w:cs="Arial"/>
                <w:color w:val="000000"/>
                <w:vertAlign w:val="superscript"/>
                <w:lang w:val="pt-BR" w:eastAsia="pt-BR"/>
              </w:rPr>
              <w:t>F</w:t>
            </w:r>
            <w:r w:rsidRPr="00FF3CA3">
              <w:rPr>
                <w:rFonts w:ascii="Arial" w:eastAsia="Times New Roman" w:hAnsi="Arial" w:cs="Arial"/>
                <w:color w:val="000000"/>
                <w:vertAlign w:val="subscript"/>
                <w:lang w:val="pt-BR" w:eastAsia="pt-BR"/>
              </w:rPr>
              <w:t>a</w:t>
            </w:r>
          </w:p>
        </w:tc>
        <w:tc>
          <w:tcPr>
            <w:tcW w:w="797" w:type="pct"/>
            <w:tcBorders>
              <w:top w:val="nil"/>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270</w:t>
            </w:r>
            <w:r w:rsidRPr="00FF3CA3">
              <w:rPr>
                <w:rFonts w:ascii="Arial" w:eastAsia="Times New Roman" w:hAnsi="Arial" w:cs="Arial"/>
                <w:color w:val="000000"/>
                <w:vertAlign w:val="superscript"/>
                <w:lang w:val="pt-BR" w:eastAsia="pt-BR"/>
              </w:rPr>
              <w:t>F</w:t>
            </w:r>
          </w:p>
        </w:tc>
      </w:tr>
      <w:tr w:rsidR="00FF3CA3" w:rsidRPr="00FF3CA3" w:rsidTr="00C17CB1">
        <w:trPr>
          <w:trHeight w:val="288"/>
        </w:trPr>
        <w:tc>
          <w:tcPr>
            <w:tcW w:w="1251" w:type="pct"/>
            <w:tcBorders>
              <w:top w:val="nil"/>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Setembro</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992</w:t>
            </w:r>
            <w:r w:rsidRPr="00FF3CA3">
              <w:rPr>
                <w:rFonts w:ascii="Arial" w:eastAsia="Times New Roman" w:hAnsi="Arial" w:cs="Arial"/>
                <w:color w:val="000000"/>
                <w:vertAlign w:val="superscript"/>
                <w:lang w:val="pt-BR" w:eastAsia="pt-BR"/>
              </w:rPr>
              <w:t>E</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930</w:t>
            </w:r>
            <w:r w:rsidRPr="00FF3CA3">
              <w:rPr>
                <w:rFonts w:ascii="Arial" w:eastAsia="Times New Roman" w:hAnsi="Arial" w:cs="Arial"/>
                <w:color w:val="000000"/>
                <w:vertAlign w:val="superscript"/>
                <w:lang w:val="pt-BR" w:eastAsia="pt-BR"/>
              </w:rPr>
              <w:t>E</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1023</w:t>
            </w:r>
            <w:r w:rsidRPr="00FF3CA3">
              <w:rPr>
                <w:rFonts w:ascii="Arial" w:eastAsia="Times New Roman" w:hAnsi="Arial" w:cs="Arial"/>
                <w:color w:val="000000"/>
                <w:vertAlign w:val="superscript"/>
                <w:lang w:val="pt-BR" w:eastAsia="pt-BR"/>
              </w:rPr>
              <w:t>F</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775</w:t>
            </w:r>
            <w:r w:rsidRPr="00FF3CA3">
              <w:rPr>
                <w:rFonts w:ascii="Arial" w:eastAsia="Times New Roman" w:hAnsi="Arial" w:cs="Arial"/>
                <w:color w:val="000000"/>
                <w:vertAlign w:val="superscript"/>
                <w:lang w:val="pt-BR" w:eastAsia="pt-BR"/>
              </w:rPr>
              <w:t>E</w:t>
            </w:r>
            <w:r w:rsidRPr="00FF3CA3">
              <w:rPr>
                <w:rFonts w:ascii="Arial" w:eastAsia="Times New Roman" w:hAnsi="Arial" w:cs="Arial"/>
                <w:color w:val="000000"/>
                <w:vertAlign w:val="subscript"/>
                <w:lang w:val="pt-BR" w:eastAsia="pt-BR"/>
              </w:rPr>
              <w:t>b</w:t>
            </w:r>
          </w:p>
        </w:tc>
        <w:tc>
          <w:tcPr>
            <w:tcW w:w="797" w:type="pct"/>
            <w:tcBorders>
              <w:top w:val="nil"/>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930</w:t>
            </w:r>
            <w:r w:rsidRPr="00FF3CA3">
              <w:rPr>
                <w:rFonts w:ascii="Arial" w:eastAsia="Times New Roman" w:hAnsi="Arial" w:cs="Arial"/>
                <w:color w:val="000000"/>
                <w:vertAlign w:val="superscript"/>
                <w:lang w:val="pt-BR" w:eastAsia="pt-BR"/>
              </w:rPr>
              <w:t>E</w:t>
            </w:r>
          </w:p>
        </w:tc>
      </w:tr>
      <w:tr w:rsidR="00FF3CA3" w:rsidRPr="00FF3CA3" w:rsidTr="00C17CB1">
        <w:trPr>
          <w:trHeight w:val="288"/>
        </w:trPr>
        <w:tc>
          <w:tcPr>
            <w:tcW w:w="1251" w:type="pct"/>
            <w:tcBorders>
              <w:top w:val="nil"/>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Outubro</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1890</w:t>
            </w:r>
            <w:r w:rsidRPr="00FF3CA3">
              <w:rPr>
                <w:rFonts w:ascii="Arial" w:eastAsia="Times New Roman" w:hAnsi="Arial" w:cs="Arial"/>
                <w:color w:val="000000"/>
                <w:vertAlign w:val="superscript"/>
                <w:lang w:val="pt-BR" w:eastAsia="pt-BR"/>
              </w:rPr>
              <w:t>D</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1440</w:t>
            </w:r>
            <w:r w:rsidRPr="00FF3CA3">
              <w:rPr>
                <w:rFonts w:ascii="Arial" w:eastAsia="Times New Roman" w:hAnsi="Arial" w:cs="Arial"/>
                <w:color w:val="000000"/>
                <w:vertAlign w:val="superscript"/>
                <w:lang w:val="pt-BR" w:eastAsia="pt-BR"/>
              </w:rPr>
              <w:t>D</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1560</w:t>
            </w:r>
            <w:r w:rsidRPr="00FF3CA3">
              <w:rPr>
                <w:rFonts w:ascii="Arial" w:eastAsia="Times New Roman" w:hAnsi="Arial" w:cs="Arial"/>
                <w:color w:val="000000"/>
                <w:vertAlign w:val="superscript"/>
                <w:lang w:val="pt-BR" w:eastAsia="pt-BR"/>
              </w:rPr>
              <w:t>F</w:t>
            </w:r>
            <w:r w:rsidRPr="00FF3CA3">
              <w:rPr>
                <w:rFonts w:ascii="Arial" w:eastAsia="Times New Roman" w:hAnsi="Arial" w:cs="Arial"/>
                <w:color w:val="000000"/>
                <w:vertAlign w:val="subscript"/>
                <w:lang w:val="pt-BR" w:eastAsia="pt-BR"/>
              </w:rPr>
              <w:t>a</w:t>
            </w:r>
          </w:p>
        </w:tc>
        <w:tc>
          <w:tcPr>
            <w:tcW w:w="738" w:type="pct"/>
            <w:tcBorders>
              <w:top w:val="nil"/>
              <w:left w:val="nil"/>
              <w:bottom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930</w:t>
            </w:r>
            <w:r w:rsidRPr="00FF3CA3">
              <w:rPr>
                <w:rFonts w:ascii="Arial" w:eastAsia="Times New Roman" w:hAnsi="Arial" w:cs="Arial"/>
                <w:color w:val="000000"/>
                <w:vertAlign w:val="superscript"/>
                <w:lang w:val="pt-BR" w:eastAsia="pt-BR"/>
              </w:rPr>
              <w:t>E</w:t>
            </w:r>
            <w:r w:rsidRPr="00FF3CA3">
              <w:rPr>
                <w:rFonts w:ascii="Arial" w:eastAsia="Times New Roman" w:hAnsi="Arial" w:cs="Arial"/>
                <w:color w:val="000000"/>
                <w:vertAlign w:val="subscript"/>
                <w:lang w:val="pt-BR" w:eastAsia="pt-BR"/>
              </w:rPr>
              <w:t>b</w:t>
            </w:r>
          </w:p>
        </w:tc>
        <w:tc>
          <w:tcPr>
            <w:tcW w:w="797" w:type="pct"/>
            <w:tcBorders>
              <w:top w:val="nil"/>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1455</w:t>
            </w:r>
            <w:r w:rsidRPr="00FF3CA3">
              <w:rPr>
                <w:rFonts w:ascii="Arial" w:eastAsia="Times New Roman" w:hAnsi="Arial" w:cs="Arial"/>
                <w:color w:val="000000"/>
                <w:vertAlign w:val="superscript"/>
                <w:lang w:val="pt-BR" w:eastAsia="pt-BR"/>
              </w:rPr>
              <w:t>D</w:t>
            </w:r>
          </w:p>
        </w:tc>
      </w:tr>
      <w:tr w:rsidR="00FF3CA3" w:rsidRPr="00FF3CA3" w:rsidTr="00C17CB1">
        <w:trPr>
          <w:trHeight w:val="288"/>
        </w:trPr>
        <w:tc>
          <w:tcPr>
            <w:tcW w:w="1251" w:type="pct"/>
            <w:tcBorders>
              <w:top w:val="nil"/>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Novembro</w:t>
            </w:r>
          </w:p>
        </w:tc>
        <w:tc>
          <w:tcPr>
            <w:tcW w:w="738" w:type="pct"/>
            <w:tcBorders>
              <w:top w:val="nil"/>
              <w:left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3720</w:t>
            </w:r>
            <w:r w:rsidRPr="00FF3CA3">
              <w:rPr>
                <w:rFonts w:ascii="Arial" w:eastAsia="Times New Roman" w:hAnsi="Arial" w:cs="Arial"/>
                <w:color w:val="000000"/>
                <w:vertAlign w:val="superscript"/>
                <w:lang w:val="pt-BR" w:eastAsia="pt-BR"/>
              </w:rPr>
              <w:t>B</w:t>
            </w:r>
            <w:r w:rsidRPr="00FF3CA3">
              <w:rPr>
                <w:rFonts w:ascii="Arial" w:eastAsia="Times New Roman" w:hAnsi="Arial" w:cs="Arial"/>
                <w:color w:val="000000"/>
                <w:vertAlign w:val="subscript"/>
                <w:lang w:val="pt-BR" w:eastAsia="pt-BR"/>
              </w:rPr>
              <w:t>a</w:t>
            </w:r>
          </w:p>
        </w:tc>
        <w:tc>
          <w:tcPr>
            <w:tcW w:w="738" w:type="pct"/>
            <w:tcBorders>
              <w:top w:val="nil"/>
              <w:left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3131</w:t>
            </w:r>
            <w:r w:rsidRPr="00FF3CA3">
              <w:rPr>
                <w:rFonts w:ascii="Arial" w:eastAsia="Times New Roman" w:hAnsi="Arial" w:cs="Arial"/>
                <w:color w:val="000000"/>
                <w:vertAlign w:val="superscript"/>
                <w:lang w:val="pt-BR" w:eastAsia="pt-BR"/>
              </w:rPr>
              <w:t>B</w:t>
            </w:r>
            <w:r w:rsidRPr="00FF3CA3">
              <w:rPr>
                <w:rFonts w:ascii="Arial" w:eastAsia="Times New Roman" w:hAnsi="Arial" w:cs="Arial"/>
                <w:color w:val="000000"/>
                <w:vertAlign w:val="subscript"/>
                <w:lang w:val="pt-BR" w:eastAsia="pt-BR"/>
              </w:rPr>
              <w:t>b</w:t>
            </w:r>
          </w:p>
        </w:tc>
        <w:tc>
          <w:tcPr>
            <w:tcW w:w="738" w:type="pct"/>
            <w:tcBorders>
              <w:top w:val="nil"/>
              <w:left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2015</w:t>
            </w:r>
            <w:r w:rsidRPr="00FF3CA3">
              <w:rPr>
                <w:rFonts w:ascii="Arial" w:eastAsia="Times New Roman" w:hAnsi="Arial" w:cs="Arial"/>
                <w:color w:val="000000"/>
                <w:vertAlign w:val="superscript"/>
                <w:lang w:val="pt-BR" w:eastAsia="pt-BR"/>
              </w:rPr>
              <w:t>D</w:t>
            </w:r>
            <w:r w:rsidRPr="00FF3CA3">
              <w:rPr>
                <w:rFonts w:ascii="Arial" w:eastAsia="Times New Roman" w:hAnsi="Arial" w:cs="Arial"/>
                <w:color w:val="000000"/>
                <w:vertAlign w:val="subscript"/>
                <w:lang w:val="pt-BR" w:eastAsia="pt-BR"/>
              </w:rPr>
              <w:t>c</w:t>
            </w:r>
          </w:p>
        </w:tc>
        <w:tc>
          <w:tcPr>
            <w:tcW w:w="738" w:type="pct"/>
            <w:tcBorders>
              <w:top w:val="nil"/>
              <w:left w:val="nil"/>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3038</w:t>
            </w:r>
            <w:r w:rsidRPr="00FF3CA3">
              <w:rPr>
                <w:rFonts w:ascii="Arial" w:eastAsia="Times New Roman" w:hAnsi="Arial" w:cs="Arial"/>
                <w:color w:val="000000"/>
                <w:vertAlign w:val="superscript"/>
                <w:lang w:val="pt-BR" w:eastAsia="pt-BR"/>
              </w:rPr>
              <w:t>B</w:t>
            </w:r>
            <w:r w:rsidRPr="00FF3CA3">
              <w:rPr>
                <w:rFonts w:ascii="Arial" w:eastAsia="Times New Roman" w:hAnsi="Arial" w:cs="Arial"/>
                <w:color w:val="000000"/>
                <w:vertAlign w:val="subscript"/>
                <w:lang w:val="pt-BR" w:eastAsia="pt-BR"/>
              </w:rPr>
              <w:t>b</w:t>
            </w:r>
          </w:p>
        </w:tc>
        <w:tc>
          <w:tcPr>
            <w:tcW w:w="797" w:type="pct"/>
            <w:tcBorders>
              <w:top w:val="nil"/>
              <w:left w:val="single" w:sz="4" w:space="0" w:color="auto"/>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2976</w:t>
            </w:r>
            <w:r w:rsidRPr="00FF3CA3">
              <w:rPr>
                <w:rFonts w:ascii="Arial" w:eastAsia="Times New Roman" w:hAnsi="Arial" w:cs="Arial"/>
                <w:color w:val="000000"/>
                <w:vertAlign w:val="superscript"/>
                <w:lang w:val="pt-BR" w:eastAsia="pt-BR"/>
              </w:rPr>
              <w:t>C</w:t>
            </w:r>
          </w:p>
        </w:tc>
      </w:tr>
      <w:tr w:rsidR="00FF3CA3" w:rsidRPr="00FF3CA3" w:rsidTr="00C17CB1">
        <w:trPr>
          <w:trHeight w:val="288"/>
        </w:trPr>
        <w:tc>
          <w:tcPr>
            <w:tcW w:w="1251" w:type="pct"/>
            <w:tcBorders>
              <w:top w:val="nil"/>
              <w:left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Dezembro</w:t>
            </w:r>
          </w:p>
        </w:tc>
        <w:tc>
          <w:tcPr>
            <w:tcW w:w="738" w:type="pct"/>
            <w:tcBorders>
              <w:top w:val="nil"/>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4230</w:t>
            </w:r>
            <w:r w:rsidRPr="00FF3CA3">
              <w:rPr>
                <w:rFonts w:ascii="Arial" w:eastAsia="Times New Roman" w:hAnsi="Arial" w:cs="Arial"/>
                <w:color w:val="000000"/>
                <w:vertAlign w:val="superscript"/>
                <w:lang w:val="pt-BR" w:eastAsia="pt-BR"/>
              </w:rPr>
              <w:t>A</w:t>
            </w:r>
            <w:r w:rsidRPr="00FF3CA3">
              <w:rPr>
                <w:rFonts w:ascii="Arial" w:eastAsia="Times New Roman" w:hAnsi="Arial" w:cs="Arial"/>
                <w:color w:val="000000"/>
                <w:vertAlign w:val="subscript"/>
                <w:lang w:val="pt-BR" w:eastAsia="pt-BR"/>
              </w:rPr>
              <w:t>a</w:t>
            </w:r>
          </w:p>
        </w:tc>
        <w:tc>
          <w:tcPr>
            <w:tcW w:w="738" w:type="pct"/>
            <w:tcBorders>
              <w:top w:val="nil"/>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3150</w:t>
            </w:r>
            <w:r w:rsidRPr="00FF3CA3">
              <w:rPr>
                <w:rFonts w:ascii="Arial" w:eastAsia="Times New Roman" w:hAnsi="Arial" w:cs="Arial"/>
                <w:color w:val="000000"/>
                <w:vertAlign w:val="superscript"/>
                <w:lang w:val="pt-BR" w:eastAsia="pt-BR"/>
              </w:rPr>
              <w:t>B</w:t>
            </w:r>
            <w:r w:rsidRPr="00FF3CA3">
              <w:rPr>
                <w:rFonts w:ascii="Arial" w:eastAsia="Times New Roman" w:hAnsi="Arial" w:cs="Arial"/>
                <w:color w:val="000000"/>
                <w:vertAlign w:val="subscript"/>
                <w:lang w:val="pt-BR" w:eastAsia="pt-BR"/>
              </w:rPr>
              <w:t>c</w:t>
            </w:r>
          </w:p>
        </w:tc>
        <w:tc>
          <w:tcPr>
            <w:tcW w:w="738" w:type="pct"/>
            <w:tcBorders>
              <w:top w:val="nil"/>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1800</w:t>
            </w:r>
            <w:r w:rsidRPr="00FF3CA3">
              <w:rPr>
                <w:rFonts w:ascii="Arial" w:eastAsia="Times New Roman" w:hAnsi="Arial" w:cs="Arial"/>
                <w:color w:val="000000"/>
                <w:vertAlign w:val="superscript"/>
                <w:lang w:val="pt-BR" w:eastAsia="pt-BR"/>
              </w:rPr>
              <w:t>E</w:t>
            </w:r>
            <w:r w:rsidRPr="00FF3CA3">
              <w:rPr>
                <w:rFonts w:ascii="Arial" w:eastAsia="Times New Roman" w:hAnsi="Arial" w:cs="Arial"/>
                <w:color w:val="000000"/>
                <w:vertAlign w:val="subscript"/>
                <w:lang w:val="pt-BR" w:eastAsia="pt-BR"/>
              </w:rPr>
              <w:t>d</w:t>
            </w:r>
          </w:p>
        </w:tc>
        <w:tc>
          <w:tcPr>
            <w:tcW w:w="738" w:type="pct"/>
            <w:tcBorders>
              <w:top w:val="nil"/>
              <w:left w:val="nil"/>
              <w:bottom w:val="single" w:sz="4" w:space="0" w:color="auto"/>
              <w:right w:val="single" w:sz="4" w:space="0" w:color="auto"/>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3810</w:t>
            </w:r>
            <w:r w:rsidRPr="00FF3CA3">
              <w:rPr>
                <w:rFonts w:ascii="Arial" w:eastAsia="Times New Roman" w:hAnsi="Arial" w:cs="Arial"/>
                <w:color w:val="000000"/>
                <w:vertAlign w:val="superscript"/>
                <w:lang w:val="pt-BR" w:eastAsia="pt-BR"/>
              </w:rPr>
              <w:t>A</w:t>
            </w:r>
            <w:r w:rsidRPr="00FF3CA3">
              <w:rPr>
                <w:rFonts w:ascii="Arial" w:eastAsia="Times New Roman" w:hAnsi="Arial" w:cs="Arial"/>
                <w:color w:val="000000"/>
                <w:vertAlign w:val="subscript"/>
                <w:lang w:val="pt-BR" w:eastAsia="pt-BR"/>
              </w:rPr>
              <w:t>b</w:t>
            </w:r>
          </w:p>
        </w:tc>
        <w:tc>
          <w:tcPr>
            <w:tcW w:w="797" w:type="pct"/>
            <w:tcBorders>
              <w:top w:val="nil"/>
              <w:left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FF3CA3">
              <w:rPr>
                <w:rFonts w:ascii="Arial" w:eastAsia="Times New Roman" w:hAnsi="Arial" w:cs="Arial"/>
                <w:color w:val="000000"/>
                <w:lang w:val="pt-BR" w:eastAsia="pt-BR"/>
              </w:rPr>
              <w:t>3247</w:t>
            </w:r>
            <w:r w:rsidRPr="00FF3CA3">
              <w:rPr>
                <w:rFonts w:ascii="Arial" w:eastAsia="Times New Roman" w:hAnsi="Arial" w:cs="Arial"/>
                <w:color w:val="000000"/>
                <w:vertAlign w:val="superscript"/>
                <w:lang w:val="pt-BR" w:eastAsia="pt-BR"/>
              </w:rPr>
              <w:t>B</w:t>
            </w:r>
          </w:p>
        </w:tc>
      </w:tr>
      <w:tr w:rsidR="00FF3CA3" w:rsidRPr="00FF3CA3" w:rsidTr="00C17CB1">
        <w:trPr>
          <w:trHeight w:val="288"/>
        </w:trPr>
        <w:tc>
          <w:tcPr>
            <w:tcW w:w="1251" w:type="pct"/>
            <w:tcBorders>
              <w:top w:val="nil"/>
              <w:left w:val="nil"/>
              <w:bottom w:val="single" w:sz="4" w:space="0" w:color="auto"/>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Média</w:t>
            </w:r>
          </w:p>
        </w:tc>
        <w:tc>
          <w:tcPr>
            <w:tcW w:w="738" w:type="pct"/>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25644</w:t>
            </w:r>
            <w:r w:rsidRPr="00FF3CA3">
              <w:rPr>
                <w:rFonts w:ascii="Arial" w:eastAsia="Times New Roman" w:hAnsi="Arial" w:cs="Arial"/>
                <w:color w:val="000000"/>
                <w:vertAlign w:val="subscript"/>
                <w:lang w:val="pt-BR" w:eastAsia="pt-BR"/>
              </w:rPr>
              <w:t>a</w:t>
            </w:r>
          </w:p>
        </w:tc>
        <w:tc>
          <w:tcPr>
            <w:tcW w:w="738" w:type="pct"/>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23408</w:t>
            </w:r>
            <w:r w:rsidRPr="00FF3CA3">
              <w:rPr>
                <w:rFonts w:ascii="Arial" w:eastAsia="Times New Roman" w:hAnsi="Arial" w:cs="Arial"/>
                <w:color w:val="000000"/>
                <w:vertAlign w:val="subscript"/>
                <w:lang w:val="pt-BR" w:eastAsia="pt-BR"/>
              </w:rPr>
              <w:t>b</w:t>
            </w:r>
          </w:p>
        </w:tc>
        <w:tc>
          <w:tcPr>
            <w:tcW w:w="738" w:type="pct"/>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20833</w:t>
            </w:r>
            <w:r w:rsidRPr="00FF3CA3">
              <w:rPr>
                <w:rFonts w:ascii="Arial" w:eastAsia="Times New Roman" w:hAnsi="Arial" w:cs="Arial"/>
                <w:color w:val="000000"/>
                <w:vertAlign w:val="subscript"/>
                <w:lang w:val="pt-BR" w:eastAsia="pt-BR"/>
              </w:rPr>
              <w:t>c</w:t>
            </w:r>
          </w:p>
        </w:tc>
        <w:tc>
          <w:tcPr>
            <w:tcW w:w="738" w:type="pct"/>
            <w:tcBorders>
              <w:top w:val="single" w:sz="4" w:space="0" w:color="auto"/>
              <w:left w:val="nil"/>
              <w:bottom w:val="single" w:sz="4" w:space="0" w:color="auto"/>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21331</w:t>
            </w:r>
            <w:r w:rsidRPr="00FF3CA3">
              <w:rPr>
                <w:rFonts w:ascii="Arial" w:eastAsia="Times New Roman" w:hAnsi="Arial" w:cs="Arial"/>
                <w:color w:val="000000"/>
                <w:vertAlign w:val="subscript"/>
                <w:lang w:val="pt-BR" w:eastAsia="pt-BR"/>
              </w:rPr>
              <w:t>b</w:t>
            </w:r>
          </w:p>
        </w:tc>
        <w:tc>
          <w:tcPr>
            <w:tcW w:w="797" w:type="pct"/>
            <w:tcBorders>
              <w:top w:val="nil"/>
              <w:left w:val="nil"/>
              <w:bottom w:val="single" w:sz="4" w:space="0" w:color="auto"/>
              <w:right w:val="nil"/>
            </w:tcBorders>
            <w:shd w:val="clear" w:color="auto" w:fill="auto"/>
            <w:noWrap/>
            <w:vAlign w:val="center"/>
            <w:hideMark/>
          </w:tcPr>
          <w:p w:rsidR="00FF3CA3" w:rsidRPr="00AA1CA5" w:rsidRDefault="00DD0733" w:rsidP="00C17CB1">
            <w:pPr>
              <w:spacing w:after="40"/>
              <w:jc w:val="center"/>
              <w:rPr>
                <w:rFonts w:ascii="Arial" w:eastAsia="Times New Roman" w:hAnsi="Arial" w:cs="Arial"/>
                <w:color w:val="000000"/>
                <w:lang w:val="pt-BR" w:eastAsia="pt-BR"/>
              </w:rPr>
            </w:pPr>
            <w:r>
              <w:rPr>
                <w:rFonts w:ascii="Arial" w:eastAsia="Times New Roman" w:hAnsi="Arial" w:cs="Arial"/>
                <w:color w:val="000000"/>
                <w:lang w:val="pt-BR" w:eastAsia="pt-BR"/>
              </w:rPr>
              <w:t>22804</w:t>
            </w:r>
          </w:p>
        </w:tc>
      </w:tr>
      <w:tr w:rsidR="00FF3CA3" w:rsidRPr="00FF3CA3" w:rsidTr="00C17CB1">
        <w:trPr>
          <w:trHeight w:val="288"/>
        </w:trPr>
        <w:tc>
          <w:tcPr>
            <w:tcW w:w="1251" w:type="pct"/>
            <w:tcBorders>
              <w:top w:val="single" w:sz="4" w:space="0" w:color="auto"/>
              <w:left w:val="nil"/>
              <w:bottom w:val="nil"/>
              <w:right w:val="nil"/>
            </w:tcBorders>
            <w:shd w:val="clear" w:color="auto" w:fill="auto"/>
            <w:noWrap/>
            <w:vAlign w:val="center"/>
            <w:hideMark/>
          </w:tcPr>
          <w:p w:rsidR="00FF3CA3" w:rsidRPr="00AA1CA5" w:rsidRDefault="00FF3CA3" w:rsidP="00C17CB1">
            <w:pPr>
              <w:spacing w:after="40"/>
              <w:rPr>
                <w:rFonts w:ascii="Arial" w:eastAsia="Times New Roman" w:hAnsi="Arial" w:cs="Arial"/>
                <w:color w:val="000000"/>
                <w:lang w:val="pt-BR" w:eastAsia="pt-BR"/>
              </w:rPr>
            </w:pPr>
            <w:r w:rsidRPr="00AA1CA5">
              <w:rPr>
                <w:rFonts w:ascii="Arial" w:eastAsia="Times New Roman" w:hAnsi="Arial" w:cs="Arial"/>
                <w:color w:val="000000"/>
                <w:lang w:val="pt-BR" w:eastAsia="pt-BR"/>
              </w:rPr>
              <w:t>CV</w:t>
            </w:r>
            <w:r w:rsidRPr="00FF3CA3">
              <w:rPr>
                <w:rFonts w:ascii="Arial" w:eastAsia="Times New Roman" w:hAnsi="Arial" w:cs="Arial"/>
                <w:color w:val="000000"/>
                <w:lang w:val="pt-BR" w:eastAsia="pt-BR"/>
              </w:rPr>
              <w:t xml:space="preserve"> (%)</w:t>
            </w:r>
          </w:p>
        </w:tc>
        <w:tc>
          <w:tcPr>
            <w:tcW w:w="738" w:type="pct"/>
            <w:tcBorders>
              <w:top w:val="single" w:sz="4" w:space="0" w:color="auto"/>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4,78</w:t>
            </w:r>
          </w:p>
        </w:tc>
        <w:tc>
          <w:tcPr>
            <w:tcW w:w="738" w:type="pct"/>
            <w:tcBorders>
              <w:top w:val="single" w:sz="4" w:space="0" w:color="auto"/>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4,14</w:t>
            </w:r>
          </w:p>
        </w:tc>
        <w:tc>
          <w:tcPr>
            <w:tcW w:w="738" w:type="pct"/>
            <w:tcBorders>
              <w:top w:val="single" w:sz="4" w:space="0" w:color="auto"/>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3,19</w:t>
            </w:r>
          </w:p>
        </w:tc>
        <w:tc>
          <w:tcPr>
            <w:tcW w:w="738" w:type="pct"/>
            <w:tcBorders>
              <w:top w:val="single" w:sz="4" w:space="0" w:color="auto"/>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r w:rsidRPr="00AA1CA5">
              <w:rPr>
                <w:rFonts w:ascii="Arial" w:eastAsia="Times New Roman" w:hAnsi="Arial" w:cs="Arial"/>
                <w:color w:val="000000"/>
                <w:lang w:val="pt-BR" w:eastAsia="pt-BR"/>
              </w:rPr>
              <w:t>2,28</w:t>
            </w:r>
          </w:p>
        </w:tc>
        <w:tc>
          <w:tcPr>
            <w:tcW w:w="797" w:type="pct"/>
            <w:tcBorders>
              <w:top w:val="single" w:sz="4" w:space="0" w:color="auto"/>
              <w:left w:val="nil"/>
              <w:bottom w:val="nil"/>
              <w:right w:val="nil"/>
            </w:tcBorders>
            <w:shd w:val="clear" w:color="auto" w:fill="auto"/>
            <w:noWrap/>
            <w:vAlign w:val="center"/>
            <w:hideMark/>
          </w:tcPr>
          <w:p w:rsidR="00FF3CA3" w:rsidRPr="00AA1CA5" w:rsidRDefault="00FF3CA3" w:rsidP="00C17CB1">
            <w:pPr>
              <w:spacing w:after="40"/>
              <w:jc w:val="center"/>
              <w:rPr>
                <w:rFonts w:ascii="Arial" w:eastAsia="Times New Roman" w:hAnsi="Arial" w:cs="Arial"/>
                <w:color w:val="000000"/>
                <w:lang w:val="pt-BR" w:eastAsia="pt-BR"/>
              </w:rPr>
            </w:pPr>
          </w:p>
        </w:tc>
      </w:tr>
      <w:tr w:rsidR="00FF3CA3" w:rsidRPr="00FF3CA3" w:rsidTr="00C17CB1">
        <w:trPr>
          <w:trHeight w:val="288"/>
        </w:trPr>
        <w:tc>
          <w:tcPr>
            <w:tcW w:w="1251" w:type="pct"/>
            <w:tcBorders>
              <w:top w:val="nil"/>
              <w:left w:val="nil"/>
              <w:bottom w:val="nil"/>
              <w:right w:val="nil"/>
            </w:tcBorders>
            <w:shd w:val="clear" w:color="auto" w:fill="auto"/>
            <w:noWrap/>
            <w:vAlign w:val="center"/>
          </w:tcPr>
          <w:p w:rsidR="00FF3CA3" w:rsidRPr="00FF3CA3" w:rsidRDefault="00FF3CA3" w:rsidP="00C17CB1">
            <w:pPr>
              <w:spacing w:after="40"/>
              <w:rPr>
                <w:rFonts w:ascii="Arial" w:eastAsia="Times New Roman" w:hAnsi="Arial" w:cs="Arial"/>
                <w:i/>
                <w:color w:val="000000"/>
                <w:lang w:val="pt-BR" w:eastAsia="pt-BR"/>
              </w:rPr>
            </w:pPr>
            <w:r w:rsidRPr="00FF3CA3">
              <w:rPr>
                <w:rFonts w:ascii="Arial" w:eastAsia="Times New Roman" w:hAnsi="Arial" w:cs="Arial"/>
                <w:i/>
                <w:color w:val="000000"/>
                <w:lang w:val="pt-BR" w:eastAsia="pt-BR"/>
              </w:rPr>
              <w:t>Significância ano</w:t>
            </w:r>
          </w:p>
        </w:tc>
        <w:tc>
          <w:tcPr>
            <w:tcW w:w="738" w:type="pct"/>
            <w:tcBorders>
              <w:top w:val="nil"/>
              <w:left w:val="nil"/>
              <w:bottom w:val="nil"/>
              <w:right w:val="nil"/>
            </w:tcBorders>
            <w:shd w:val="clear" w:color="auto" w:fill="auto"/>
            <w:noWrap/>
            <w:vAlign w:val="center"/>
          </w:tcPr>
          <w:p w:rsidR="00FF3CA3" w:rsidRPr="00FF3CA3" w:rsidRDefault="00FF3CA3" w:rsidP="00C17CB1">
            <w:pPr>
              <w:spacing w:after="40"/>
              <w:jc w:val="center"/>
              <w:rPr>
                <w:rFonts w:ascii="Arial" w:eastAsia="Times New Roman" w:hAnsi="Arial" w:cs="Arial"/>
                <w:color w:val="000000"/>
                <w:lang w:val="pt-BR" w:eastAsia="pt-BR"/>
              </w:rPr>
            </w:pPr>
            <w:r w:rsidRPr="00FF3CA3">
              <w:rPr>
                <w:rFonts w:ascii="Arial" w:eastAsia="Times New Roman" w:hAnsi="Arial" w:cs="Arial"/>
                <w:color w:val="000000"/>
                <w:lang w:val="pt-BR" w:eastAsia="pt-BR"/>
              </w:rPr>
              <w:t>&lt;0,05</w:t>
            </w:r>
          </w:p>
        </w:tc>
        <w:tc>
          <w:tcPr>
            <w:tcW w:w="738" w:type="pct"/>
            <w:tcBorders>
              <w:top w:val="nil"/>
              <w:left w:val="nil"/>
              <w:bottom w:val="nil"/>
              <w:right w:val="nil"/>
            </w:tcBorders>
            <w:shd w:val="clear" w:color="auto" w:fill="auto"/>
            <w:noWrap/>
            <w:vAlign w:val="center"/>
          </w:tcPr>
          <w:p w:rsidR="00FF3CA3" w:rsidRPr="00FF3CA3" w:rsidRDefault="00FF3CA3" w:rsidP="00C17CB1">
            <w:pPr>
              <w:spacing w:after="40"/>
              <w:jc w:val="center"/>
              <w:rPr>
                <w:rFonts w:ascii="Arial" w:eastAsia="Times New Roman" w:hAnsi="Arial" w:cs="Arial"/>
                <w:color w:val="000000"/>
                <w:lang w:val="pt-BR" w:eastAsia="pt-BR"/>
              </w:rPr>
            </w:pPr>
            <w:r w:rsidRPr="00FF3CA3">
              <w:rPr>
                <w:rFonts w:ascii="Arial" w:eastAsia="Times New Roman" w:hAnsi="Arial" w:cs="Arial"/>
                <w:color w:val="000000"/>
                <w:lang w:val="pt-BR" w:eastAsia="pt-BR"/>
              </w:rPr>
              <w:t>&lt;0,05</w:t>
            </w:r>
          </w:p>
        </w:tc>
        <w:tc>
          <w:tcPr>
            <w:tcW w:w="738" w:type="pct"/>
            <w:tcBorders>
              <w:top w:val="nil"/>
              <w:left w:val="nil"/>
              <w:bottom w:val="nil"/>
              <w:right w:val="nil"/>
            </w:tcBorders>
            <w:shd w:val="clear" w:color="auto" w:fill="auto"/>
            <w:noWrap/>
            <w:vAlign w:val="center"/>
          </w:tcPr>
          <w:p w:rsidR="00FF3CA3" w:rsidRPr="00FF3CA3" w:rsidRDefault="00FF3CA3" w:rsidP="00C17CB1">
            <w:pPr>
              <w:spacing w:after="40"/>
              <w:jc w:val="center"/>
              <w:rPr>
                <w:rFonts w:ascii="Arial" w:eastAsia="Times New Roman" w:hAnsi="Arial" w:cs="Arial"/>
                <w:color w:val="000000"/>
                <w:lang w:val="pt-BR" w:eastAsia="pt-BR"/>
              </w:rPr>
            </w:pPr>
            <w:r w:rsidRPr="00FF3CA3">
              <w:rPr>
                <w:rFonts w:ascii="Arial" w:eastAsia="Times New Roman" w:hAnsi="Arial" w:cs="Arial"/>
                <w:color w:val="000000"/>
                <w:lang w:val="pt-BR" w:eastAsia="pt-BR"/>
              </w:rPr>
              <w:t>&lt;0,05</w:t>
            </w:r>
          </w:p>
        </w:tc>
        <w:tc>
          <w:tcPr>
            <w:tcW w:w="738" w:type="pct"/>
            <w:tcBorders>
              <w:top w:val="nil"/>
              <w:left w:val="nil"/>
              <w:bottom w:val="nil"/>
              <w:right w:val="nil"/>
            </w:tcBorders>
            <w:shd w:val="clear" w:color="auto" w:fill="auto"/>
            <w:noWrap/>
            <w:vAlign w:val="center"/>
          </w:tcPr>
          <w:p w:rsidR="00FF3CA3" w:rsidRPr="00FF3CA3" w:rsidRDefault="00FF3CA3" w:rsidP="00C17CB1">
            <w:pPr>
              <w:spacing w:after="40"/>
              <w:jc w:val="center"/>
              <w:rPr>
                <w:rFonts w:ascii="Arial" w:eastAsia="Times New Roman" w:hAnsi="Arial" w:cs="Arial"/>
                <w:color w:val="000000"/>
                <w:lang w:val="pt-BR" w:eastAsia="pt-BR"/>
              </w:rPr>
            </w:pPr>
            <w:r w:rsidRPr="00FF3CA3">
              <w:rPr>
                <w:rFonts w:ascii="Arial" w:eastAsia="Times New Roman" w:hAnsi="Arial" w:cs="Arial"/>
                <w:color w:val="000000"/>
                <w:lang w:val="pt-BR" w:eastAsia="pt-BR"/>
              </w:rPr>
              <w:t>&lt;0,05</w:t>
            </w:r>
          </w:p>
        </w:tc>
        <w:tc>
          <w:tcPr>
            <w:tcW w:w="797" w:type="pct"/>
            <w:tcBorders>
              <w:top w:val="nil"/>
              <w:left w:val="nil"/>
              <w:bottom w:val="nil"/>
              <w:right w:val="nil"/>
            </w:tcBorders>
            <w:shd w:val="clear" w:color="auto" w:fill="auto"/>
            <w:noWrap/>
            <w:vAlign w:val="center"/>
          </w:tcPr>
          <w:p w:rsidR="00FF3CA3" w:rsidRPr="00FF3CA3" w:rsidRDefault="00FF3CA3" w:rsidP="00C17CB1">
            <w:pPr>
              <w:spacing w:after="40"/>
              <w:jc w:val="center"/>
              <w:rPr>
                <w:rFonts w:ascii="Arial" w:eastAsia="Times New Roman" w:hAnsi="Arial" w:cs="Arial"/>
                <w:color w:val="000000"/>
                <w:lang w:val="pt-BR" w:eastAsia="pt-BR"/>
              </w:rPr>
            </w:pPr>
          </w:p>
        </w:tc>
      </w:tr>
      <w:tr w:rsidR="00FF3CA3" w:rsidRPr="00FF3CA3" w:rsidTr="00C17CB1">
        <w:trPr>
          <w:trHeight w:val="288"/>
        </w:trPr>
        <w:tc>
          <w:tcPr>
            <w:tcW w:w="1251" w:type="pct"/>
            <w:tcBorders>
              <w:top w:val="nil"/>
              <w:left w:val="nil"/>
              <w:bottom w:val="single" w:sz="4" w:space="0" w:color="auto"/>
              <w:right w:val="nil"/>
            </w:tcBorders>
            <w:shd w:val="clear" w:color="auto" w:fill="auto"/>
            <w:noWrap/>
            <w:vAlign w:val="center"/>
          </w:tcPr>
          <w:p w:rsidR="00FF3CA3" w:rsidRPr="00FF3CA3" w:rsidRDefault="00FF3CA3" w:rsidP="00C17CB1">
            <w:pPr>
              <w:spacing w:after="40"/>
              <w:rPr>
                <w:rFonts w:ascii="Arial" w:eastAsia="Times New Roman" w:hAnsi="Arial" w:cs="Arial"/>
                <w:i/>
                <w:color w:val="000000"/>
                <w:lang w:val="pt-BR" w:eastAsia="pt-BR"/>
              </w:rPr>
            </w:pPr>
            <w:r w:rsidRPr="00FF3CA3">
              <w:rPr>
                <w:rFonts w:ascii="Arial" w:eastAsia="Times New Roman" w:hAnsi="Arial" w:cs="Arial"/>
                <w:i/>
                <w:color w:val="000000"/>
                <w:lang w:val="pt-BR" w:eastAsia="pt-BR"/>
              </w:rPr>
              <w:t xml:space="preserve">Significância </w:t>
            </w:r>
            <w:proofErr w:type="spellStart"/>
            <w:r w:rsidRPr="00FF3CA3">
              <w:rPr>
                <w:rFonts w:ascii="Arial" w:eastAsia="Times New Roman" w:hAnsi="Arial" w:cs="Arial"/>
                <w:i/>
                <w:color w:val="000000"/>
                <w:lang w:val="pt-BR" w:eastAsia="pt-BR"/>
              </w:rPr>
              <w:t>A×Mês</w:t>
            </w:r>
            <w:proofErr w:type="spellEnd"/>
          </w:p>
        </w:tc>
        <w:tc>
          <w:tcPr>
            <w:tcW w:w="2952" w:type="pct"/>
            <w:gridSpan w:val="4"/>
            <w:tcBorders>
              <w:top w:val="nil"/>
              <w:left w:val="nil"/>
              <w:bottom w:val="single" w:sz="4" w:space="0" w:color="auto"/>
              <w:right w:val="nil"/>
            </w:tcBorders>
            <w:shd w:val="clear" w:color="auto" w:fill="auto"/>
            <w:noWrap/>
            <w:vAlign w:val="center"/>
          </w:tcPr>
          <w:p w:rsidR="00FF3CA3" w:rsidRPr="00FF3CA3" w:rsidRDefault="00FF3CA3" w:rsidP="00C17CB1">
            <w:pPr>
              <w:spacing w:after="40"/>
              <w:jc w:val="center"/>
              <w:rPr>
                <w:rFonts w:ascii="Arial" w:eastAsia="Times New Roman" w:hAnsi="Arial" w:cs="Arial"/>
                <w:color w:val="000000"/>
                <w:lang w:val="pt-BR" w:eastAsia="pt-BR"/>
              </w:rPr>
            </w:pPr>
            <w:r w:rsidRPr="00FF3CA3">
              <w:rPr>
                <w:rFonts w:ascii="Arial" w:eastAsia="Times New Roman" w:hAnsi="Arial" w:cs="Arial"/>
                <w:color w:val="000000"/>
                <w:lang w:val="pt-BR" w:eastAsia="pt-BR"/>
              </w:rPr>
              <w:t>&lt;0,05</w:t>
            </w:r>
          </w:p>
        </w:tc>
        <w:tc>
          <w:tcPr>
            <w:tcW w:w="797" w:type="pct"/>
            <w:tcBorders>
              <w:top w:val="nil"/>
              <w:left w:val="nil"/>
              <w:bottom w:val="single" w:sz="4" w:space="0" w:color="auto"/>
              <w:right w:val="nil"/>
            </w:tcBorders>
            <w:shd w:val="clear" w:color="auto" w:fill="auto"/>
            <w:noWrap/>
            <w:vAlign w:val="center"/>
          </w:tcPr>
          <w:p w:rsidR="00FF3CA3" w:rsidRPr="00FF3CA3" w:rsidRDefault="00FF3CA3" w:rsidP="00C17CB1">
            <w:pPr>
              <w:spacing w:after="40"/>
              <w:jc w:val="center"/>
              <w:rPr>
                <w:rFonts w:ascii="Arial" w:eastAsia="Times New Roman" w:hAnsi="Arial" w:cs="Arial"/>
                <w:color w:val="000000"/>
                <w:lang w:val="pt-BR" w:eastAsia="pt-BR"/>
              </w:rPr>
            </w:pPr>
          </w:p>
        </w:tc>
      </w:tr>
    </w:tbl>
    <w:p w:rsidR="008F38D3" w:rsidRPr="00FF3CA3" w:rsidRDefault="00FF3CA3">
      <w:pPr>
        <w:pStyle w:val="LO-normal"/>
        <w:jc w:val="both"/>
        <w:rPr>
          <w:rFonts w:ascii="Arial" w:eastAsia="Arial" w:hAnsi="Arial" w:cs="Arial"/>
          <w:color w:val="000000"/>
          <w:sz w:val="20"/>
          <w:szCs w:val="20"/>
          <w:u w:color="000000"/>
          <w:lang w:val="pt-BR"/>
        </w:rPr>
      </w:pPr>
      <w:r w:rsidRPr="00FF3CA3">
        <w:rPr>
          <w:rFonts w:ascii="Arial" w:eastAsia="Arial" w:hAnsi="Arial" w:cs="Arial"/>
          <w:color w:val="000000"/>
          <w:sz w:val="20"/>
          <w:szCs w:val="20"/>
          <w:u w:color="000000"/>
          <w:lang w:val="pt-BR"/>
        </w:rPr>
        <w:t>Médias seguidas de diferentes letas maiúsculas sobrescritas indicam diferença a 5% na coluna.</w:t>
      </w:r>
    </w:p>
    <w:p w:rsidR="00FF3CA3" w:rsidRPr="00FF3CA3" w:rsidRDefault="00FF3CA3">
      <w:pPr>
        <w:pStyle w:val="LO-normal"/>
        <w:jc w:val="both"/>
        <w:rPr>
          <w:rFonts w:ascii="Arial" w:eastAsia="Arial" w:hAnsi="Arial" w:cs="Arial"/>
          <w:color w:val="000000"/>
          <w:sz w:val="20"/>
          <w:szCs w:val="20"/>
          <w:u w:color="000000"/>
          <w:lang w:val="pt-BR"/>
        </w:rPr>
      </w:pPr>
      <w:r w:rsidRPr="00FF3CA3">
        <w:rPr>
          <w:rFonts w:ascii="Arial" w:eastAsia="Arial" w:hAnsi="Arial" w:cs="Arial"/>
          <w:color w:val="000000"/>
          <w:sz w:val="20"/>
          <w:szCs w:val="20"/>
          <w:u w:color="000000"/>
          <w:lang w:val="pt-BR"/>
        </w:rPr>
        <w:t>Médias seguidas de diferentes letras minúsculas sobescritas indicam diferença a 5% na linha.</w:t>
      </w:r>
    </w:p>
    <w:p w:rsidR="008F38D3" w:rsidRDefault="008F38D3">
      <w:pPr>
        <w:pStyle w:val="LO-normal"/>
        <w:widowControl w:val="0"/>
        <w:rPr>
          <w:rFonts w:ascii="Arial" w:eastAsia="Arial" w:hAnsi="Arial" w:cs="Arial"/>
          <w:color w:val="000000"/>
          <w:sz w:val="22"/>
          <w:szCs w:val="22"/>
          <w:u w:color="000000"/>
        </w:rPr>
      </w:pPr>
    </w:p>
    <w:p w:rsidR="004F4AE1" w:rsidRDefault="004F4AE1">
      <w:pPr>
        <w:pStyle w:val="LO-normal"/>
        <w:jc w:val="both"/>
        <w:rPr>
          <w:rFonts w:ascii="Arial" w:eastAsia="Arial" w:hAnsi="Arial" w:cs="Arial"/>
          <w:color w:val="000000"/>
          <w:sz w:val="22"/>
          <w:szCs w:val="22"/>
          <w:u w:color="000000"/>
          <w:lang w:val="pt-BR"/>
        </w:rPr>
      </w:pPr>
      <w:r>
        <w:rPr>
          <w:rFonts w:ascii="Arial" w:eastAsia="Arial" w:hAnsi="Arial" w:cs="Arial"/>
          <w:color w:val="000000"/>
          <w:sz w:val="22"/>
          <w:szCs w:val="22"/>
          <w:u w:color="000000"/>
          <w:lang w:val="pt-BR"/>
        </w:rPr>
        <w:t xml:space="preserve">O mesmo ocorre quando existe algum extremo climático no ano produtivo, a exemplo da seca histórica ocorrida de novembro/20 a metade de janeiro/21, quando choveu 38% da média histórica (196mm em 3 meses), a qual reduziu (P&lt;0,05) a produção de forragem em 39, 52 e 41% em novembro, dezembro (2020) e janeiro (2021), respectivamente. Essa redução </w:t>
      </w:r>
      <w:r>
        <w:rPr>
          <w:rFonts w:ascii="Arial" w:eastAsia="Arial" w:hAnsi="Arial" w:cs="Arial"/>
          <w:color w:val="000000"/>
          <w:sz w:val="22"/>
          <w:szCs w:val="22"/>
          <w:u w:color="000000"/>
          <w:lang w:val="pt-BR"/>
        </w:rPr>
        <w:lastRenderedPageBreak/>
        <w:t xml:space="preserve">provocada pela estiagem influenciou negativamente a produção anual do Tifton, sendo o ano de 2020 o ano de menor produção observada no somatório da produção mensal. Um fator importante de se observar com as produtividades é a curva produtiva da cultura para a região, indicando quando a técnica da </w:t>
      </w:r>
      <w:proofErr w:type="spellStart"/>
      <w:r>
        <w:rPr>
          <w:rFonts w:ascii="Arial" w:eastAsia="Arial" w:hAnsi="Arial" w:cs="Arial"/>
          <w:color w:val="000000"/>
          <w:sz w:val="22"/>
          <w:szCs w:val="22"/>
          <w:u w:color="000000"/>
          <w:lang w:val="pt-BR"/>
        </w:rPr>
        <w:t>sobressemeadura</w:t>
      </w:r>
      <w:proofErr w:type="spellEnd"/>
      <w:r>
        <w:rPr>
          <w:rFonts w:ascii="Arial" w:eastAsia="Arial" w:hAnsi="Arial" w:cs="Arial"/>
          <w:color w:val="000000"/>
          <w:sz w:val="22"/>
          <w:szCs w:val="22"/>
          <w:u w:color="000000"/>
          <w:lang w:val="pt-BR"/>
        </w:rPr>
        <w:t xml:space="preserve"> deve ser realizada, assim como o tamanho do ciclo do material de inverno que deve ser utilizado. Cultivares com produção tardia, em outubro por exemplo, tendem a “prejudicar” a produção forrageira, devido ao menor potencial de produção quando comparado com o Tifton 85. A produção anual média de Tifton 85 na região de Chapecó é de 22804 kg.MS.ha</w:t>
      </w:r>
      <w:r>
        <w:rPr>
          <w:rFonts w:ascii="Arial" w:eastAsia="Arial" w:hAnsi="Arial" w:cs="Arial"/>
          <w:color w:val="000000"/>
          <w:sz w:val="22"/>
          <w:szCs w:val="22"/>
          <w:u w:color="000000"/>
          <w:vertAlign w:val="superscript"/>
          <w:lang w:val="pt-BR"/>
        </w:rPr>
        <w:t>-1</w:t>
      </w:r>
      <w:r>
        <w:rPr>
          <w:rFonts w:ascii="Arial" w:eastAsia="Arial" w:hAnsi="Arial" w:cs="Arial"/>
          <w:color w:val="000000"/>
          <w:sz w:val="22"/>
          <w:szCs w:val="22"/>
          <w:u w:color="000000"/>
          <w:lang w:val="pt-BR"/>
        </w:rPr>
        <w:t>, com a produção concentrada nos meses quentes.</w:t>
      </w:r>
    </w:p>
    <w:p w:rsidR="008F38D3" w:rsidRDefault="006A1B54">
      <w:pPr>
        <w:pStyle w:val="LO-normal"/>
        <w:jc w:val="both"/>
      </w:pPr>
      <w:r>
        <w:rPr>
          <w:rFonts w:ascii="Arial" w:hAnsi="Arial"/>
          <w:b/>
          <w:bCs/>
          <w:color w:val="000000"/>
          <w:sz w:val="22"/>
          <w:szCs w:val="22"/>
          <w:u w:color="000000"/>
        </w:rPr>
        <w:t xml:space="preserve">      </w:t>
      </w:r>
      <w:r>
        <w:rPr>
          <w:rFonts w:ascii="Arial" w:hAnsi="Arial"/>
          <w:color w:val="000000"/>
          <w:sz w:val="22"/>
          <w:szCs w:val="22"/>
          <w:u w:color="000000"/>
        </w:rPr>
        <w:t xml:space="preserve">                   </w:t>
      </w:r>
    </w:p>
    <w:p w:rsidR="008F38D3" w:rsidRDefault="006A1B54">
      <w:pPr>
        <w:pStyle w:val="LO-normal"/>
        <w:jc w:val="both"/>
        <w:rPr>
          <w:rFonts w:ascii="Arial" w:eastAsia="Arial" w:hAnsi="Arial" w:cs="Arial"/>
          <w:b/>
          <w:bCs/>
          <w:color w:val="000000"/>
          <w:sz w:val="22"/>
          <w:szCs w:val="22"/>
          <w:u w:color="000000"/>
        </w:rPr>
      </w:pPr>
      <w:r w:rsidRPr="00A12EF5">
        <w:rPr>
          <w:rFonts w:ascii="Arial" w:hAnsi="Arial"/>
          <w:b/>
          <w:bCs/>
          <w:color w:val="000000"/>
          <w:sz w:val="22"/>
          <w:szCs w:val="22"/>
          <w:u w:color="000000"/>
          <w:lang w:val="pt-BR"/>
        </w:rPr>
        <w:t>Conclusão</w:t>
      </w:r>
      <w:r w:rsidRPr="00A12EF5">
        <w:rPr>
          <w:rFonts w:ascii="Arial" w:hAnsi="Arial"/>
          <w:color w:val="000000"/>
          <w:sz w:val="22"/>
          <w:szCs w:val="22"/>
          <w:u w:color="000000"/>
          <w:lang w:val="pt-BR"/>
        </w:rPr>
        <w:t xml:space="preserve">: </w:t>
      </w:r>
      <w:r w:rsidR="00A12EF5" w:rsidRPr="00A12EF5">
        <w:rPr>
          <w:rFonts w:ascii="Arial" w:eastAsia="Arial" w:hAnsi="Arial" w:cs="Arial"/>
          <w:color w:val="000000"/>
          <w:sz w:val="22"/>
          <w:szCs w:val="22"/>
          <w:u w:color="000000"/>
          <w:lang w:val="pt-BR"/>
        </w:rPr>
        <w:t xml:space="preserve">A produção anual média de </w:t>
      </w:r>
      <w:r w:rsidR="004F4AE1">
        <w:rPr>
          <w:rFonts w:ascii="Arial" w:eastAsia="Arial" w:hAnsi="Arial" w:cs="Arial"/>
          <w:color w:val="000000"/>
          <w:sz w:val="22"/>
          <w:szCs w:val="22"/>
          <w:u w:color="000000"/>
          <w:lang w:val="pt-BR"/>
        </w:rPr>
        <w:t>Tifton-</w:t>
      </w:r>
      <w:r w:rsidR="004F4AE1">
        <w:rPr>
          <w:rFonts w:ascii="Arial" w:eastAsia="Arial" w:hAnsi="Arial" w:cs="Arial"/>
          <w:color w:val="000000"/>
          <w:sz w:val="22"/>
          <w:szCs w:val="22"/>
          <w:u w:color="000000"/>
          <w:lang w:val="pt-BR"/>
        </w:rPr>
        <w:t xml:space="preserve">85 </w:t>
      </w:r>
      <w:r w:rsidR="00A12EF5" w:rsidRPr="00A12EF5">
        <w:rPr>
          <w:rFonts w:ascii="Arial" w:eastAsia="Arial" w:hAnsi="Arial" w:cs="Arial"/>
          <w:color w:val="000000"/>
          <w:sz w:val="22"/>
          <w:szCs w:val="22"/>
          <w:u w:color="000000"/>
          <w:lang w:val="pt-BR"/>
        </w:rPr>
        <w:t>na região de Chapecó é de 22804 kg.MS.ha</w:t>
      </w:r>
      <w:r w:rsidR="00A12EF5" w:rsidRPr="00A12EF5">
        <w:rPr>
          <w:rFonts w:ascii="Arial" w:eastAsia="Arial" w:hAnsi="Arial" w:cs="Arial"/>
          <w:color w:val="000000"/>
          <w:sz w:val="22"/>
          <w:szCs w:val="22"/>
          <w:u w:color="000000"/>
          <w:vertAlign w:val="superscript"/>
          <w:lang w:val="pt-BR"/>
        </w:rPr>
        <w:t>-1</w:t>
      </w:r>
      <w:r>
        <w:rPr>
          <w:noProof/>
          <w:lang w:val="pt-BR"/>
        </w:rPr>
        <w:drawing>
          <wp:anchor distT="152400" distB="152400" distL="152400" distR="152400" simplePos="0" relativeHeight="251660288" behindDoc="0" locked="0" layoutInCell="1" allowOverlap="1">
            <wp:simplePos x="0" y="0"/>
            <wp:positionH relativeFrom="page">
              <wp:posOffset>0</wp:posOffset>
            </wp:positionH>
            <wp:positionV relativeFrom="page">
              <wp:posOffset>0</wp:posOffset>
            </wp:positionV>
            <wp:extent cx="7556500" cy="1115194"/>
            <wp:effectExtent l="0" t="0" r="0" b="0"/>
            <wp:wrapTopAndBottom distT="152400" distB="152400"/>
            <wp:docPr id="1073741827" name="officeArt object" descr="Cabeçalho SBSS-02.jpg"/>
            <wp:cNvGraphicFramePr/>
            <a:graphic xmlns:a="http://schemas.openxmlformats.org/drawingml/2006/main">
              <a:graphicData uri="http://schemas.openxmlformats.org/drawingml/2006/picture">
                <pic:pic xmlns:pic="http://schemas.openxmlformats.org/drawingml/2006/picture">
                  <pic:nvPicPr>
                    <pic:cNvPr id="1073741827" name="Cabeçalho SBSS-02.jpg" descr="Cabeçalho SBSS-02.jpg"/>
                    <pic:cNvPicPr>
                      <a:picLocks noChangeAspect="1"/>
                    </pic:cNvPicPr>
                  </pic:nvPicPr>
                  <pic:blipFill>
                    <a:blip r:embed="rId6">
                      <a:extLst/>
                    </a:blip>
                    <a:stretch>
                      <a:fillRect/>
                    </a:stretch>
                  </pic:blipFill>
                  <pic:spPr>
                    <a:xfrm>
                      <a:off x="0" y="0"/>
                      <a:ext cx="7556500" cy="1115194"/>
                    </a:xfrm>
                    <a:prstGeom prst="rect">
                      <a:avLst/>
                    </a:prstGeom>
                    <a:ln w="12700" cap="flat">
                      <a:noFill/>
                      <a:miter lim="400000"/>
                    </a:ln>
                    <a:effectLst/>
                  </pic:spPr>
                </pic:pic>
              </a:graphicData>
            </a:graphic>
          </wp:anchor>
        </w:drawing>
      </w:r>
      <w:r w:rsidR="00A12EF5">
        <w:rPr>
          <w:rFonts w:ascii="Arial" w:eastAsia="Arial" w:hAnsi="Arial" w:cs="Arial"/>
          <w:color w:val="000000"/>
          <w:sz w:val="22"/>
          <w:szCs w:val="22"/>
          <w:u w:color="000000"/>
          <w:lang w:val="pt-BR"/>
        </w:rPr>
        <w:t>, com as produções máximas observadas de novembro a janeiro e as produções mínimas entre julho e agosto.</w:t>
      </w:r>
      <w:r>
        <w:rPr>
          <w:rFonts w:ascii="Arial" w:hAnsi="Arial"/>
          <w:color w:val="000000"/>
          <w:sz w:val="22"/>
          <w:szCs w:val="22"/>
          <w:u w:color="000000"/>
        </w:rPr>
        <w:t xml:space="preserve"> </w:t>
      </w:r>
      <w:bookmarkStart w:id="1" w:name="_GoBack"/>
      <w:bookmarkEnd w:id="1"/>
    </w:p>
    <w:p w:rsidR="008F38D3" w:rsidRDefault="008F38D3">
      <w:pPr>
        <w:pStyle w:val="LO-normal"/>
        <w:jc w:val="both"/>
        <w:rPr>
          <w:rFonts w:ascii="Arial" w:eastAsia="Arial" w:hAnsi="Arial" w:cs="Arial"/>
          <w:b/>
          <w:bCs/>
          <w:color w:val="000000"/>
          <w:sz w:val="22"/>
          <w:szCs w:val="22"/>
          <w:u w:color="000000"/>
        </w:rPr>
      </w:pPr>
    </w:p>
    <w:p w:rsidR="008F38D3" w:rsidRPr="00A12EF5" w:rsidRDefault="006A1B54">
      <w:pPr>
        <w:pStyle w:val="LO-normal"/>
        <w:jc w:val="both"/>
        <w:rPr>
          <w:rFonts w:ascii="Arial" w:eastAsia="Arial" w:hAnsi="Arial" w:cs="Arial"/>
          <w:color w:val="000000"/>
          <w:sz w:val="22"/>
          <w:szCs w:val="22"/>
          <w:u w:color="000000"/>
          <w:lang w:val="pt-BR"/>
        </w:rPr>
      </w:pPr>
      <w:r w:rsidRPr="00A12EF5">
        <w:rPr>
          <w:rFonts w:ascii="Arial" w:hAnsi="Arial"/>
          <w:b/>
          <w:bCs/>
          <w:color w:val="000000"/>
          <w:sz w:val="22"/>
          <w:szCs w:val="22"/>
          <w:u w:color="000000"/>
          <w:lang w:val="pt-BR"/>
        </w:rPr>
        <w:t xml:space="preserve">Referências: </w:t>
      </w:r>
    </w:p>
    <w:p w:rsidR="008F38D3" w:rsidRDefault="008F38D3">
      <w:pPr>
        <w:pStyle w:val="LO-normal"/>
        <w:jc w:val="both"/>
      </w:pPr>
    </w:p>
    <w:p w:rsidR="004715C0" w:rsidRDefault="004715C0" w:rsidP="00A12EF5">
      <w:pPr>
        <w:pStyle w:val="LO-normal"/>
        <w:rPr>
          <w:rFonts w:ascii="Arial" w:eastAsia="Arial" w:hAnsi="Arial" w:cs="Arial"/>
          <w:color w:val="000000"/>
          <w:sz w:val="22"/>
          <w:szCs w:val="22"/>
          <w:u w:color="000000"/>
          <w:lang w:val="pt-BR"/>
        </w:rPr>
      </w:pPr>
      <w:r w:rsidRPr="00A12EF5">
        <w:rPr>
          <w:rFonts w:ascii="Arial" w:eastAsia="Arial" w:hAnsi="Arial" w:cs="Arial"/>
          <w:color w:val="000000"/>
          <w:sz w:val="22"/>
          <w:szCs w:val="22"/>
          <w:u w:color="000000"/>
          <w:lang w:val="pt-BR"/>
        </w:rPr>
        <w:t xml:space="preserve">EMPRESA BRASILEIRA DE PESQUISA AGROPECUÁRIA - EMBRAPA. CENTRO NACIONAL DE PESQUISA DE SOLOS. </w:t>
      </w:r>
      <w:r w:rsidRPr="00A12EF5">
        <w:rPr>
          <w:rFonts w:ascii="Arial" w:eastAsia="Arial" w:hAnsi="Arial" w:cs="Arial"/>
          <w:b/>
          <w:bCs/>
          <w:color w:val="000000"/>
          <w:sz w:val="22"/>
          <w:szCs w:val="22"/>
          <w:u w:color="000000"/>
          <w:lang w:val="pt-BR"/>
        </w:rPr>
        <w:t>Solos do Estado de Santa Catarina</w:t>
      </w:r>
      <w:r w:rsidRPr="00A12EF5">
        <w:rPr>
          <w:rFonts w:ascii="Arial" w:eastAsia="Arial" w:hAnsi="Arial" w:cs="Arial"/>
          <w:color w:val="000000"/>
          <w:sz w:val="22"/>
          <w:szCs w:val="22"/>
          <w:u w:color="000000"/>
          <w:lang w:val="pt-BR"/>
        </w:rPr>
        <w:t>. Rio de Janeiro: Embrapa/CNPS 2006, 745p.</w:t>
      </w:r>
    </w:p>
    <w:p w:rsidR="004715C0" w:rsidRDefault="004715C0" w:rsidP="00A12EF5">
      <w:pPr>
        <w:pStyle w:val="LO-normal"/>
        <w:rPr>
          <w:rFonts w:ascii="Arial" w:eastAsia="Arial" w:hAnsi="Arial" w:cs="Arial"/>
          <w:color w:val="000000"/>
          <w:sz w:val="22"/>
          <w:szCs w:val="22"/>
          <w:u w:color="000000"/>
          <w:lang w:val="pt-BR"/>
        </w:rPr>
      </w:pPr>
    </w:p>
    <w:p w:rsidR="004715C0" w:rsidRDefault="004715C0" w:rsidP="00A12EF5">
      <w:pPr>
        <w:pStyle w:val="LO-normal"/>
        <w:rPr>
          <w:rFonts w:ascii="Arial" w:eastAsia="Arial" w:hAnsi="Arial" w:cs="Arial"/>
          <w:color w:val="000000"/>
          <w:sz w:val="22"/>
          <w:szCs w:val="22"/>
          <w:u w:color="000000"/>
          <w:lang w:val="pt-BR"/>
        </w:rPr>
      </w:pPr>
      <w:r w:rsidRPr="00DD0733">
        <w:rPr>
          <w:rFonts w:ascii="Arial" w:eastAsia="Arial" w:hAnsi="Arial" w:cs="Arial"/>
          <w:color w:val="000000"/>
          <w:sz w:val="22"/>
          <w:szCs w:val="22"/>
          <w:u w:color="000000"/>
          <w:lang w:val="pt-BR"/>
        </w:rPr>
        <w:t xml:space="preserve">JOCHIMS, F., SILVA, A.W.; PORTES, V.M. Espécies forrageiras mais utilizadas em pastagens na Região Oeste de Santa Catarina. </w:t>
      </w:r>
      <w:r w:rsidRPr="00DD0733">
        <w:rPr>
          <w:rFonts w:ascii="Arial" w:eastAsia="Arial" w:hAnsi="Arial" w:cs="Arial"/>
          <w:b/>
          <w:color w:val="000000"/>
          <w:sz w:val="22"/>
          <w:szCs w:val="22"/>
          <w:u w:color="000000"/>
          <w:lang w:val="pt-BR"/>
        </w:rPr>
        <w:t>Agropecuária Catarinense</w:t>
      </w:r>
      <w:r w:rsidRPr="00DD0733">
        <w:rPr>
          <w:rFonts w:ascii="Arial" w:eastAsia="Arial" w:hAnsi="Arial" w:cs="Arial"/>
          <w:color w:val="000000"/>
          <w:sz w:val="22"/>
          <w:szCs w:val="22"/>
          <w:u w:color="000000"/>
          <w:lang w:val="pt-BR"/>
        </w:rPr>
        <w:t xml:space="preserve">, Florianópolis, v.30, n.3, </w:t>
      </w:r>
      <w:proofErr w:type="gramStart"/>
      <w:r w:rsidRPr="00DD0733">
        <w:rPr>
          <w:rFonts w:ascii="Arial" w:eastAsia="Arial" w:hAnsi="Arial" w:cs="Arial"/>
          <w:color w:val="000000"/>
          <w:sz w:val="22"/>
          <w:szCs w:val="22"/>
          <w:u w:color="000000"/>
          <w:lang w:val="pt-BR"/>
        </w:rPr>
        <w:t>set./</w:t>
      </w:r>
      <w:proofErr w:type="gramEnd"/>
      <w:r w:rsidRPr="00DD0733">
        <w:rPr>
          <w:rFonts w:ascii="Arial" w:eastAsia="Arial" w:hAnsi="Arial" w:cs="Arial"/>
          <w:color w:val="000000"/>
          <w:sz w:val="22"/>
          <w:szCs w:val="22"/>
          <w:u w:color="000000"/>
          <w:lang w:val="pt-BR"/>
        </w:rPr>
        <w:t>dez. 2017.</w:t>
      </w:r>
    </w:p>
    <w:p w:rsidR="004715C0" w:rsidRDefault="004715C0" w:rsidP="00A12EF5">
      <w:pPr>
        <w:pStyle w:val="LO-normal"/>
        <w:rPr>
          <w:rFonts w:ascii="Arial" w:eastAsia="Arial" w:hAnsi="Arial" w:cs="Arial"/>
          <w:color w:val="000000"/>
          <w:sz w:val="22"/>
          <w:szCs w:val="22"/>
          <w:u w:color="000000"/>
          <w:lang w:val="pt-BR"/>
        </w:rPr>
      </w:pPr>
    </w:p>
    <w:p w:rsidR="004715C0" w:rsidRDefault="004715C0" w:rsidP="00A12EF5">
      <w:pPr>
        <w:pStyle w:val="LO-normal"/>
        <w:rPr>
          <w:rFonts w:ascii="Arial" w:eastAsia="Arial" w:hAnsi="Arial" w:cs="Arial"/>
          <w:color w:val="000000"/>
          <w:sz w:val="22"/>
          <w:szCs w:val="22"/>
          <w:u w:color="000000"/>
          <w:lang w:val="pt-BR"/>
        </w:rPr>
      </w:pPr>
      <w:r>
        <w:rPr>
          <w:rFonts w:ascii="Arial" w:eastAsia="Arial" w:hAnsi="Arial" w:cs="Arial"/>
          <w:color w:val="000000"/>
          <w:sz w:val="22"/>
          <w:szCs w:val="22"/>
          <w:u w:color="000000"/>
          <w:lang w:val="pt-BR"/>
        </w:rPr>
        <w:t xml:space="preserve">MACDONALD, K.A.; PENNO, J.W.; LANCHASTER, J.A.S.; et al. Efeito da taxa de lotação na produção de pastagens, produção de leite e reprodução de vacas leiteiras em sistemas baseados em pastagens. </w:t>
      </w:r>
      <w:proofErr w:type="spellStart"/>
      <w:r>
        <w:rPr>
          <w:rFonts w:ascii="Arial" w:eastAsia="Arial" w:hAnsi="Arial" w:cs="Arial"/>
          <w:b/>
          <w:color w:val="000000"/>
          <w:sz w:val="22"/>
          <w:szCs w:val="22"/>
          <w:u w:color="000000"/>
          <w:lang w:val="pt-BR"/>
        </w:rPr>
        <w:t>Journal</w:t>
      </w:r>
      <w:proofErr w:type="spellEnd"/>
      <w:r>
        <w:rPr>
          <w:rFonts w:ascii="Arial" w:eastAsia="Arial" w:hAnsi="Arial" w:cs="Arial"/>
          <w:b/>
          <w:color w:val="000000"/>
          <w:sz w:val="22"/>
          <w:szCs w:val="22"/>
          <w:u w:color="000000"/>
          <w:lang w:val="pt-BR"/>
        </w:rPr>
        <w:t xml:space="preserve"> </w:t>
      </w:r>
      <w:proofErr w:type="spellStart"/>
      <w:r>
        <w:rPr>
          <w:rFonts w:ascii="Arial" w:eastAsia="Arial" w:hAnsi="Arial" w:cs="Arial"/>
          <w:b/>
          <w:color w:val="000000"/>
          <w:sz w:val="22"/>
          <w:szCs w:val="22"/>
          <w:u w:color="000000"/>
          <w:lang w:val="pt-BR"/>
        </w:rPr>
        <w:t>of</w:t>
      </w:r>
      <w:proofErr w:type="spellEnd"/>
      <w:r>
        <w:rPr>
          <w:rFonts w:ascii="Arial" w:eastAsia="Arial" w:hAnsi="Arial" w:cs="Arial"/>
          <w:b/>
          <w:color w:val="000000"/>
          <w:sz w:val="22"/>
          <w:szCs w:val="22"/>
          <w:u w:color="000000"/>
          <w:lang w:val="pt-BR"/>
        </w:rPr>
        <w:t xml:space="preserve"> </w:t>
      </w:r>
      <w:proofErr w:type="spellStart"/>
      <w:r>
        <w:rPr>
          <w:rFonts w:ascii="Arial" w:eastAsia="Arial" w:hAnsi="Arial" w:cs="Arial"/>
          <w:b/>
          <w:color w:val="000000"/>
          <w:sz w:val="22"/>
          <w:szCs w:val="22"/>
          <w:u w:color="000000"/>
          <w:lang w:val="pt-BR"/>
        </w:rPr>
        <w:t>dairy</w:t>
      </w:r>
      <w:proofErr w:type="spellEnd"/>
      <w:r>
        <w:rPr>
          <w:rFonts w:ascii="Arial" w:eastAsia="Arial" w:hAnsi="Arial" w:cs="Arial"/>
          <w:b/>
          <w:color w:val="000000"/>
          <w:sz w:val="22"/>
          <w:szCs w:val="22"/>
          <w:u w:color="000000"/>
          <w:lang w:val="pt-BR"/>
        </w:rPr>
        <w:t xml:space="preserve"> Science, </w:t>
      </w:r>
      <w:r>
        <w:rPr>
          <w:rFonts w:ascii="Arial" w:eastAsia="Arial" w:hAnsi="Arial" w:cs="Arial"/>
          <w:color w:val="000000"/>
          <w:sz w:val="22"/>
          <w:szCs w:val="22"/>
          <w:u w:color="000000"/>
          <w:lang w:val="pt-BR"/>
        </w:rPr>
        <w:t>91, 2151-2163, 2008.</w:t>
      </w:r>
    </w:p>
    <w:p w:rsidR="004715C0" w:rsidRPr="00845AD5" w:rsidRDefault="004715C0" w:rsidP="00A12EF5">
      <w:pPr>
        <w:pStyle w:val="LO-normal"/>
        <w:rPr>
          <w:rFonts w:ascii="Arial" w:eastAsia="Arial" w:hAnsi="Arial" w:cs="Arial"/>
          <w:color w:val="000000"/>
          <w:sz w:val="22"/>
          <w:szCs w:val="22"/>
          <w:u w:color="000000"/>
          <w:lang w:val="pt-BR"/>
        </w:rPr>
      </w:pPr>
    </w:p>
    <w:p w:rsidR="004715C0" w:rsidRDefault="004715C0" w:rsidP="00A12EF5">
      <w:pPr>
        <w:pStyle w:val="LO-normal"/>
        <w:rPr>
          <w:rFonts w:ascii="Arial" w:eastAsia="Arial" w:hAnsi="Arial" w:cs="Arial"/>
          <w:color w:val="000000"/>
          <w:sz w:val="22"/>
          <w:szCs w:val="22"/>
          <w:u w:color="000000"/>
          <w:lang w:val="pt-BR"/>
        </w:rPr>
      </w:pPr>
      <w:r>
        <w:rPr>
          <w:rFonts w:ascii="Arial" w:eastAsia="Arial" w:hAnsi="Arial" w:cs="Arial"/>
          <w:color w:val="000000"/>
          <w:sz w:val="22"/>
          <w:szCs w:val="22"/>
          <w:u w:color="000000"/>
          <w:lang w:val="pt-BR"/>
        </w:rPr>
        <w:t xml:space="preserve">MILLIGAN, K.E.; BROOKES, I.M.; THOMPSON, H.J. </w:t>
      </w:r>
      <w:proofErr w:type="spellStart"/>
      <w:r>
        <w:rPr>
          <w:rFonts w:ascii="Arial" w:eastAsia="Arial" w:hAnsi="Arial" w:cs="Arial"/>
          <w:color w:val="000000"/>
          <w:sz w:val="22"/>
          <w:szCs w:val="22"/>
          <w:u w:color="000000"/>
          <w:lang w:val="pt-BR"/>
        </w:rPr>
        <w:t>Feed</w:t>
      </w:r>
      <w:proofErr w:type="spellEnd"/>
      <w:r>
        <w:rPr>
          <w:rFonts w:ascii="Arial" w:eastAsia="Arial" w:hAnsi="Arial" w:cs="Arial"/>
          <w:color w:val="000000"/>
          <w:sz w:val="22"/>
          <w:szCs w:val="22"/>
          <w:u w:color="000000"/>
          <w:lang w:val="pt-BR"/>
        </w:rPr>
        <w:t xml:space="preserve"> </w:t>
      </w:r>
      <w:proofErr w:type="spellStart"/>
      <w:r>
        <w:rPr>
          <w:rFonts w:ascii="Arial" w:eastAsia="Arial" w:hAnsi="Arial" w:cs="Arial"/>
          <w:color w:val="000000"/>
          <w:sz w:val="22"/>
          <w:szCs w:val="22"/>
          <w:u w:color="000000"/>
          <w:lang w:val="pt-BR"/>
        </w:rPr>
        <w:t>planning</w:t>
      </w:r>
      <w:proofErr w:type="spellEnd"/>
      <w:r>
        <w:rPr>
          <w:rFonts w:ascii="Arial" w:eastAsia="Arial" w:hAnsi="Arial" w:cs="Arial"/>
          <w:color w:val="000000"/>
          <w:sz w:val="22"/>
          <w:szCs w:val="22"/>
          <w:u w:color="000000"/>
          <w:lang w:val="pt-BR"/>
        </w:rPr>
        <w:t xml:space="preserve"> </w:t>
      </w:r>
      <w:proofErr w:type="spellStart"/>
      <w:r>
        <w:rPr>
          <w:rFonts w:ascii="Arial" w:eastAsia="Arial" w:hAnsi="Arial" w:cs="Arial"/>
          <w:color w:val="000000"/>
          <w:sz w:val="22"/>
          <w:szCs w:val="22"/>
          <w:u w:color="000000"/>
          <w:lang w:val="pt-BR"/>
        </w:rPr>
        <w:t>on</w:t>
      </w:r>
      <w:proofErr w:type="spellEnd"/>
      <w:r>
        <w:rPr>
          <w:rFonts w:ascii="Arial" w:eastAsia="Arial" w:hAnsi="Arial" w:cs="Arial"/>
          <w:color w:val="000000"/>
          <w:sz w:val="22"/>
          <w:szCs w:val="22"/>
          <w:u w:color="000000"/>
          <w:lang w:val="pt-BR"/>
        </w:rPr>
        <w:t xml:space="preserve"> </w:t>
      </w:r>
      <w:proofErr w:type="spellStart"/>
      <w:r>
        <w:rPr>
          <w:rFonts w:ascii="Arial" w:eastAsia="Arial" w:hAnsi="Arial" w:cs="Arial"/>
          <w:color w:val="000000"/>
          <w:sz w:val="22"/>
          <w:szCs w:val="22"/>
          <w:u w:color="000000"/>
          <w:lang w:val="pt-BR"/>
        </w:rPr>
        <w:t>pasture</w:t>
      </w:r>
      <w:proofErr w:type="spellEnd"/>
      <w:r>
        <w:rPr>
          <w:rFonts w:ascii="Arial" w:eastAsia="Arial" w:hAnsi="Arial" w:cs="Arial"/>
          <w:color w:val="000000"/>
          <w:sz w:val="22"/>
          <w:szCs w:val="22"/>
          <w:u w:color="000000"/>
          <w:lang w:val="pt-BR"/>
        </w:rPr>
        <w:t xml:space="preserve">. IN: MARTIN L.C.T. </w:t>
      </w:r>
      <w:r w:rsidRPr="00DD0733">
        <w:rPr>
          <w:rFonts w:ascii="Arial" w:eastAsia="Arial" w:hAnsi="Arial" w:cs="Arial"/>
          <w:b/>
          <w:color w:val="000000"/>
          <w:sz w:val="22"/>
          <w:szCs w:val="22"/>
          <w:u w:color="000000"/>
          <w:lang w:val="pt-BR"/>
        </w:rPr>
        <w:t>Nutrição mineral de bovinos</w:t>
      </w:r>
      <w:r>
        <w:rPr>
          <w:rFonts w:ascii="Arial" w:eastAsia="Arial" w:hAnsi="Arial" w:cs="Arial"/>
          <w:color w:val="000000"/>
          <w:sz w:val="22"/>
          <w:szCs w:val="22"/>
          <w:u w:color="000000"/>
          <w:lang w:val="pt-BR"/>
        </w:rPr>
        <w:t>. São Paulo: Nobel, 1993, 173p.</w:t>
      </w:r>
    </w:p>
    <w:p w:rsidR="008F38D3" w:rsidRDefault="008F38D3">
      <w:pPr>
        <w:pStyle w:val="LO-normal"/>
        <w:jc w:val="both"/>
        <w:rPr>
          <w:rFonts w:ascii="Arial" w:eastAsia="Arial" w:hAnsi="Arial" w:cs="Arial"/>
          <w:color w:val="000000"/>
          <w:sz w:val="22"/>
          <w:szCs w:val="22"/>
          <w:u w:color="000000"/>
        </w:rPr>
      </w:pPr>
    </w:p>
    <w:p w:rsidR="008F38D3" w:rsidRDefault="006A1B54">
      <w:pPr>
        <w:pStyle w:val="LO-normal"/>
        <w:jc w:val="both"/>
      </w:pPr>
      <w:r>
        <w:rPr>
          <w:noProof/>
          <w:lang w:val="pt-BR"/>
        </w:rPr>
        <w:drawing>
          <wp:anchor distT="152400" distB="152400" distL="152400" distR="152400" simplePos="0" relativeHeight="251661312" behindDoc="0" locked="0" layoutInCell="1" allowOverlap="1">
            <wp:simplePos x="0" y="0"/>
            <wp:positionH relativeFrom="page">
              <wp:posOffset>0</wp:posOffset>
            </wp:positionH>
            <wp:positionV relativeFrom="page">
              <wp:posOffset>0</wp:posOffset>
            </wp:positionV>
            <wp:extent cx="7556500" cy="1115194"/>
            <wp:effectExtent l="0" t="0" r="0" b="0"/>
            <wp:wrapTopAndBottom distT="152400" distB="152400"/>
            <wp:docPr id="1073741828" name="officeArt object" descr="Cabeçalho SBSS-02.jpg"/>
            <wp:cNvGraphicFramePr/>
            <a:graphic xmlns:a="http://schemas.openxmlformats.org/drawingml/2006/main">
              <a:graphicData uri="http://schemas.openxmlformats.org/drawingml/2006/picture">
                <pic:pic xmlns:pic="http://schemas.openxmlformats.org/drawingml/2006/picture">
                  <pic:nvPicPr>
                    <pic:cNvPr id="1073741828" name="Cabeçalho SBSS-02.jpg" descr="Cabeçalho SBSS-02.jpg"/>
                    <pic:cNvPicPr>
                      <a:picLocks noChangeAspect="1"/>
                    </pic:cNvPicPr>
                  </pic:nvPicPr>
                  <pic:blipFill>
                    <a:blip r:embed="rId6">
                      <a:extLst/>
                    </a:blip>
                    <a:stretch>
                      <a:fillRect/>
                    </a:stretch>
                  </pic:blipFill>
                  <pic:spPr>
                    <a:xfrm>
                      <a:off x="0" y="0"/>
                      <a:ext cx="7556500" cy="1115194"/>
                    </a:xfrm>
                    <a:prstGeom prst="rect">
                      <a:avLst/>
                    </a:prstGeom>
                    <a:ln w="12700" cap="flat">
                      <a:noFill/>
                      <a:miter lim="400000"/>
                    </a:ln>
                    <a:effectLst/>
                  </pic:spPr>
                </pic:pic>
              </a:graphicData>
            </a:graphic>
          </wp:anchor>
        </w:drawing>
      </w:r>
    </w:p>
    <w:p w:rsidR="008F38D3" w:rsidRDefault="008F38D3">
      <w:pPr>
        <w:pStyle w:val="LO-normal"/>
        <w:jc w:val="both"/>
        <w:rPr>
          <w:rFonts w:ascii="Arial" w:eastAsia="Arial" w:hAnsi="Arial" w:cs="Arial"/>
          <w:color w:val="000000"/>
          <w:sz w:val="22"/>
          <w:szCs w:val="22"/>
          <w:u w:color="000000"/>
        </w:rPr>
      </w:pPr>
    </w:p>
    <w:p w:rsidR="008F38D3" w:rsidRDefault="008F38D3">
      <w:pPr>
        <w:pStyle w:val="LO-normal"/>
        <w:ind w:right="284"/>
        <w:jc w:val="both"/>
      </w:pPr>
    </w:p>
    <w:sectPr w:rsidR="008F38D3">
      <w:headerReference w:type="default" r:id="rId7"/>
      <w:pgSz w:w="11900" w:h="16840"/>
      <w:pgMar w:top="1418" w:right="1418" w:bottom="1418" w:left="141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7AA" w:rsidRDefault="00D817AA">
      <w:r>
        <w:separator/>
      </w:r>
    </w:p>
  </w:endnote>
  <w:endnote w:type="continuationSeparator" w:id="0">
    <w:p w:rsidR="00D817AA" w:rsidRDefault="00D8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7AA" w:rsidRDefault="00D817AA">
      <w:r>
        <w:separator/>
      </w:r>
    </w:p>
  </w:footnote>
  <w:footnote w:type="continuationSeparator" w:id="0">
    <w:p w:rsidR="00D817AA" w:rsidRDefault="00D81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D3" w:rsidRDefault="008F38D3">
    <w:pPr>
      <w:pStyle w:val="LO-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D3"/>
    <w:rsid w:val="001A433E"/>
    <w:rsid w:val="004715C0"/>
    <w:rsid w:val="00484E51"/>
    <w:rsid w:val="004F4AE1"/>
    <w:rsid w:val="006A1B54"/>
    <w:rsid w:val="00770C1B"/>
    <w:rsid w:val="00845AD5"/>
    <w:rsid w:val="008B1F23"/>
    <w:rsid w:val="008F38D3"/>
    <w:rsid w:val="009F2B88"/>
    <w:rsid w:val="00A12EF5"/>
    <w:rsid w:val="00A329A9"/>
    <w:rsid w:val="00A86EA6"/>
    <w:rsid w:val="00C45325"/>
    <w:rsid w:val="00C52CC6"/>
    <w:rsid w:val="00D817AA"/>
    <w:rsid w:val="00DD0733"/>
    <w:rsid w:val="00DD161A"/>
    <w:rsid w:val="00E63410"/>
    <w:rsid w:val="00EF781F"/>
    <w:rsid w:val="00FB6D61"/>
    <w:rsid w:val="00FF3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075EB-8B3A-4393-88CC-9ABCD393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LO-normal">
    <w:name w:val="LO-normal"/>
    <w:qFormat/>
    <w:pPr>
      <w:suppressAutoHyphens/>
    </w:pPr>
    <w:rPr>
      <w:rFonts w:ascii="Cambria" w:hAnsi="Cambria" w:cs="Arial Unicode MS"/>
      <w:color w:val="00000A"/>
      <w:sz w:val="24"/>
      <w:szCs w:val="24"/>
      <w:u w:color="00000A"/>
      <w:lang w:val="en-US"/>
    </w:r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abealho">
    <w:name w:val="header"/>
    <w:basedOn w:val="Normal"/>
    <w:link w:val="CabealhoChar"/>
    <w:uiPriority w:val="99"/>
    <w:unhideWhenUsed/>
    <w:rsid w:val="004F4AE1"/>
    <w:pPr>
      <w:tabs>
        <w:tab w:val="center" w:pos="4252"/>
        <w:tab w:val="right" w:pos="8504"/>
      </w:tabs>
    </w:pPr>
  </w:style>
  <w:style w:type="character" w:customStyle="1" w:styleId="CabealhoChar">
    <w:name w:val="Cabeçalho Char"/>
    <w:basedOn w:val="Fontepargpadro"/>
    <w:link w:val="Cabealho"/>
    <w:uiPriority w:val="99"/>
    <w:rsid w:val="004F4AE1"/>
    <w:rPr>
      <w:sz w:val="24"/>
      <w:szCs w:val="24"/>
      <w:lang w:val="en-US" w:eastAsia="en-US"/>
    </w:rPr>
  </w:style>
  <w:style w:type="paragraph" w:styleId="Rodap">
    <w:name w:val="footer"/>
    <w:basedOn w:val="Normal"/>
    <w:link w:val="RodapChar"/>
    <w:uiPriority w:val="99"/>
    <w:unhideWhenUsed/>
    <w:rsid w:val="004F4AE1"/>
    <w:pPr>
      <w:tabs>
        <w:tab w:val="center" w:pos="4252"/>
        <w:tab w:val="right" w:pos="8504"/>
      </w:tabs>
    </w:pPr>
  </w:style>
  <w:style w:type="character" w:customStyle="1" w:styleId="RodapChar">
    <w:name w:val="Rodapé Char"/>
    <w:basedOn w:val="Fontepargpadro"/>
    <w:link w:val="Rodap"/>
    <w:uiPriority w:val="99"/>
    <w:rsid w:val="004F4AE1"/>
    <w:rPr>
      <w:sz w:val="24"/>
      <w:szCs w:val="24"/>
      <w:lang w:val="en-US" w:eastAsia="en-US"/>
    </w:rPr>
  </w:style>
  <w:style w:type="paragraph" w:styleId="Ttulo">
    <w:name w:val="Title"/>
    <w:basedOn w:val="Normal"/>
    <w:next w:val="Corpodetexto"/>
    <w:link w:val="TtuloChar"/>
    <w:qFormat/>
    <w:rsid w:val="004F4AE1"/>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120"/>
    </w:pPr>
    <w:rPr>
      <w:rFonts w:ascii="Liberation Sans" w:eastAsia="Microsoft YaHei" w:hAnsi="Liberation Sans" w:cs="Arial"/>
      <w:sz w:val="28"/>
      <w:szCs w:val="28"/>
      <w:bdr w:val="none" w:sz="0" w:space="0" w:color="auto"/>
    </w:rPr>
  </w:style>
  <w:style w:type="character" w:customStyle="1" w:styleId="TtuloChar">
    <w:name w:val="Título Char"/>
    <w:basedOn w:val="Fontepargpadro"/>
    <w:link w:val="Ttulo"/>
    <w:rsid w:val="004F4AE1"/>
    <w:rPr>
      <w:rFonts w:ascii="Liberation Sans" w:eastAsia="Microsoft YaHei" w:hAnsi="Liberation Sans" w:cs="Arial"/>
      <w:sz w:val="28"/>
      <w:szCs w:val="28"/>
      <w:bdr w:val="none" w:sz="0" w:space="0" w:color="auto"/>
      <w:lang w:val="en-US" w:eastAsia="en-US"/>
    </w:rPr>
  </w:style>
  <w:style w:type="paragraph" w:styleId="Corpodetexto">
    <w:name w:val="Body Text"/>
    <w:basedOn w:val="Normal"/>
    <w:link w:val="CorpodetextoChar"/>
    <w:uiPriority w:val="99"/>
    <w:semiHidden/>
    <w:unhideWhenUsed/>
    <w:rsid w:val="004F4AE1"/>
    <w:pPr>
      <w:spacing w:after="120"/>
    </w:pPr>
  </w:style>
  <w:style w:type="character" w:customStyle="1" w:styleId="CorpodetextoChar">
    <w:name w:val="Corpo de texto Char"/>
    <w:basedOn w:val="Fontepargpadro"/>
    <w:link w:val="Corpodetexto"/>
    <w:uiPriority w:val="99"/>
    <w:semiHidden/>
    <w:rsid w:val="004F4AE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7028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Jochims</dc:creator>
  <cp:lastModifiedBy>Felipe Jochims</cp:lastModifiedBy>
  <cp:revision>2</cp:revision>
  <dcterms:created xsi:type="dcterms:W3CDTF">2023-10-05T18:10:00Z</dcterms:created>
  <dcterms:modified xsi:type="dcterms:W3CDTF">2023-10-05T18:10:00Z</dcterms:modified>
</cp:coreProperties>
</file>