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DA82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0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AVALIAÇÃO DE PROTOCOLOS</w:t>
      </w:r>
      <w:r>
        <w:rPr>
          <w:rFonts w:ascii="Arial" w:eastAsia="Arial" w:hAnsi="Arial" w:cs="Arial"/>
          <w:b/>
          <w:sz w:val="28"/>
          <w:szCs w:val="28"/>
        </w:rPr>
        <w:t xml:space="preserve"> N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A INDUÇÃO DA LACTAÇÃO </w:t>
      </w:r>
      <w:r>
        <w:rPr>
          <w:rFonts w:ascii="Arial" w:eastAsia="Arial" w:hAnsi="Arial" w:cs="Arial"/>
          <w:b/>
          <w:sz w:val="28"/>
          <w:szCs w:val="28"/>
        </w:rPr>
        <w:t>ADAPTADOS</w:t>
      </w:r>
    </w:p>
    <w:p w14:paraId="2CF2989A" w14:textId="77777777" w:rsidR="00AC452D" w:rsidRDefault="00E75308">
      <w:pPr>
        <w:ind w:right="28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Ellen Manenti da Silva</w:t>
      </w:r>
      <w:r>
        <w:rPr>
          <w:rFonts w:ascii="Arial" w:eastAsia="Arial" w:hAnsi="Arial" w:cs="Arial"/>
          <w:sz w:val="20"/>
          <w:szCs w:val="20"/>
        </w:rPr>
        <w:t xml:space="preserve">, Lucio Pereira Rauber, Luisa Wolker Fava. </w:t>
      </w:r>
    </w:p>
    <w:p w14:paraId="71D50AA8" w14:textId="77777777" w:rsidR="00AC452D" w:rsidRDefault="00AC452D">
      <w:pPr>
        <w:ind w:right="284"/>
        <w:jc w:val="center"/>
        <w:rPr>
          <w:rFonts w:ascii="Arial" w:eastAsia="Arial" w:hAnsi="Arial" w:cs="Arial"/>
          <w:sz w:val="22"/>
          <w:szCs w:val="22"/>
        </w:rPr>
      </w:pPr>
    </w:p>
    <w:p w14:paraId="1506D083" w14:textId="77777777" w:rsidR="00AC452D" w:rsidRDefault="00E75308">
      <w:pPr>
        <w:ind w:right="28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Instituto Federal Catarinense – Campus Concórdia, E-mail: ellenmsmv@gmail.com</w:t>
      </w:r>
    </w:p>
    <w:p w14:paraId="4179E045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ind w:right="284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B9D971F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Contribuição para a sociedade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67BB7B38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bovinocultura de leite, falhas na reprodução geram aumento no intervalo entre partos e queda na produção de leite,  impactando a economia e a gestão da propriedade. Os protocolos de indução da lactação visam a correção da falha da produção, mas, infelizmente, não podem ser considerados ferramentas para correção das falhas da reprodução. A base para estes protocolos consiste na utilização de hormônios relacionados ao parto, como progesterona, prostaglandina, estrógeno e somatotropina. Os protocolos conven</w:t>
      </w:r>
      <w:r>
        <w:rPr>
          <w:rFonts w:ascii="Arial" w:eastAsia="Arial" w:hAnsi="Arial" w:cs="Arial"/>
          <w:sz w:val="22"/>
          <w:szCs w:val="22"/>
        </w:rPr>
        <w:t>cionais utilizam altas doses diárias de estrógeno, hormônio esteróide com veículo oleoso, que causa dor em seu local de aplicação. Assim, pensou-se em uma forma de instigar um maior bem-estar para os animais protocolados, que seria a diminuição do volume e quantidade de aplicações do estrógeno, por isso, comparou-se o Benzoato de Estradiol com o Valerato de Estradiol. Por conseguinte, levou-se em consideração a questão dos descartes dos implantes intravaginais e o impacto ambiental causado pelos mesmos, des</w:t>
      </w:r>
      <w:r>
        <w:rPr>
          <w:rFonts w:ascii="Arial" w:eastAsia="Arial" w:hAnsi="Arial" w:cs="Arial"/>
          <w:sz w:val="22"/>
          <w:szCs w:val="22"/>
        </w:rPr>
        <w:t>sa maneira, optou-se realizar uma adaptação do uso dos implantes intravaginais de progesterona, por progesterona injetável de longa ação. Esta, seguiu com aplicações de baixo volume e a remoção do implante que causa desconforto e vaginite, também proporcionando o bem estar. O próximo passo é unir as duas modificações em um único protocolo, já que são produtos que são fornecidos por empresas distintas e não há divulgação do uso conjunto destes fármacos em específico. Por fim, este protocolo visa a redução do</w:t>
      </w:r>
      <w:r>
        <w:rPr>
          <w:rFonts w:ascii="Arial" w:eastAsia="Arial" w:hAnsi="Arial" w:cs="Arial"/>
          <w:sz w:val="22"/>
          <w:szCs w:val="22"/>
        </w:rPr>
        <w:t xml:space="preserve"> uso de hormônios, aplicações e custos, favorecer o bem estar animal e reduzir o volume de resíduo gerado. </w:t>
      </w:r>
    </w:p>
    <w:p w14:paraId="1E72F008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3A6F30D5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Palavras-chave</w:t>
      </w:r>
      <w:r>
        <w:rPr>
          <w:rFonts w:ascii="Arial" w:eastAsia="Arial" w:hAnsi="Arial" w:cs="Arial"/>
          <w:color w:val="000000"/>
          <w:sz w:val="22"/>
          <w:szCs w:val="22"/>
        </w:rPr>
        <w:t>: produção, protocolos, reprodução, leite.</w:t>
      </w:r>
    </w:p>
    <w:p w14:paraId="56B1319F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C97D39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Introdução: </w:t>
      </w:r>
    </w:p>
    <w:p w14:paraId="5AD5D317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A pecuária leiteira está entre as atividades de maior importância mundial, responsável por gerar empregos, lucratividade e o abastecimento de milhares de pessoas. Devido a sua importância nutricional, o leite se tornou um alimento presente e quase indispensável no dia a dia das pessoas, seja na forma de leite fluído, de derivados ou como ingrediente. Os hábitos e o perfil dos consumidores auxiliam positivamente para que a tendência dos próximos anos seja o aumento no consumo de produtos lácteos  (VILELA, AL</w:t>
      </w:r>
      <w:r>
        <w:rPr>
          <w:rFonts w:ascii="Arial" w:eastAsia="Arial" w:hAnsi="Arial" w:cs="Arial"/>
          <w:color w:val="111111"/>
          <w:sz w:val="22"/>
          <w:szCs w:val="22"/>
        </w:rPr>
        <w:t>VES et al., 2017). </w:t>
      </w:r>
    </w:p>
    <w:p w14:paraId="580FFBF6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 xml:space="preserve">Segundo o Instituto Brasileiro de Geografia e Estatística (IBGE), em 2022, o Brasil registrou uma retração na captação do leite, registrando uma queda de 5,05% em relação ao ano anterior do volume total. Em 2021, captou-se 25,1 bilhões de litros e em 2022 foram produzidos 23,8 bilhões, dessa maneira, a retração corresponde a 1,26 bilhões de litros, sendo o menor volume anual dos últimos seis anos. No entanto, a região sul registrou um aumento de 1,1% em sua produção, totalizando um aumento de 32 milhões de </w:t>
      </w:r>
      <w:r>
        <w:rPr>
          <w:rFonts w:ascii="Arial" w:eastAsia="Arial" w:hAnsi="Arial" w:cs="Arial"/>
          <w:color w:val="111111"/>
          <w:sz w:val="22"/>
          <w:szCs w:val="22"/>
        </w:rPr>
        <w:t xml:space="preserve">litros (IBGE, 2023). </w:t>
      </w:r>
    </w:p>
    <w:p w14:paraId="7841E7B4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 xml:space="preserve">Na pecuária leiteira, o descarte de animais proporciona perdas econômicas e produtivas, tendo como principal fator, as falhas reprodutivas (NAHMS, 2007). Com intuito de corrigir estas falhas e fazer com que a fêmea produza leite mesmo sem parir, os protocolos de indução a lactação são baseados na mimetização hormonal do terço final da gestação e parto, culminando com a produção de leite. Progesterona, prostaglandina, estrógeno e somatotropina são a base para um protocolo de indução de lactação (MACHADO, </w:t>
      </w:r>
      <w:r>
        <w:rPr>
          <w:rFonts w:ascii="Arial" w:eastAsia="Arial" w:hAnsi="Arial" w:cs="Arial"/>
          <w:color w:val="111111"/>
          <w:sz w:val="22"/>
          <w:szCs w:val="22"/>
        </w:rPr>
        <w:lastRenderedPageBreak/>
        <w:t>GONÇALVES, 2015). Como efeito secundário, o retorno à lactação pode auxiliar as vacas voltarem a emprenhar (OLIVEIRA, FERREIRA, 2016).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</w:t>
      </w:r>
    </w:p>
    <w:p w14:paraId="1362CE58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Com esse intuito, visou-se adaptar os protocolos de lactação avaliando a redução dos hormônios esteróides (progesterona e estrógeno), tencionando o bem-estar animal, retomar a vida produtiva e como consequência sua vida reprodutiva.</w:t>
      </w:r>
    </w:p>
    <w:p w14:paraId="5092B373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FB266F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>Material e métodos: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BFE3A22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Foram selecionados 12 bovinos leiteiros, da raça Holandesa, sadios, de idades e número de gestações variadas, não lactantes e não gestantes, com escore corporal entre 3 e 4, de uma escala de 1-5 (em que 1 denomina-se animal muito magro e 5 animal muito gordo), e não apresentando mastite no início do protocolo. Ambos os protocolos duraram 22 dias e a adaptação da ordenha ocorreu durante a última semana das aplicações dos protocolos e consistia na reabilitação das vacas e no treinamento para as novilhas do ma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nejo de ordenha, de modo a diminuir o estresse das futuras ordenhas. </w:t>
      </w:r>
    </w:p>
    <w:p w14:paraId="3308DA9B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Para avaliação do estrógeno foram escolhidos 06 animais (04 vacas e 02 novilhas) do rebanho de bovinos leiteiros do setor de Zootecnia do Instituto Federal Catarinense, Campus Concórdia. Os animais foram dispostos em 02 grupos, controle e tratamento. O grupo controle consistiu na aplicação de Benzoato de Estradiol e o grupo tratamento, aplicou-se Valerato de Estradiol (Valerol®-MSD). Em ambos os protocolos foram implantados o dispositivo intravaginal de progesterona (Fertilcare Implante 1200 mg®- MSD) do di</w:t>
      </w:r>
      <w:r>
        <w:rPr>
          <w:rFonts w:ascii="Arial" w:eastAsia="Arial" w:hAnsi="Arial" w:cs="Arial"/>
          <w:color w:val="000000"/>
          <w:sz w:val="22"/>
          <w:szCs w:val="22"/>
        </w:rPr>
        <w:t>a 0 (D0) ao dia 14 (D14). No grupo tratamento, aplicou-se Somatropina (Boostin®-MSD 500 mg) + Valerato de Estradiol (5 mg) nos dias D0, D8 e D14 e nos dias D2, D4, D6, D10, D12 somente aplicação do Valerato de Estradiol (5 mg); No D15 retirou-se o implante intravaginal de progesterona e aplicou-se D-Cloprostenol Sódico (530 mg) + Dexametasona (20 mg) + Valerato de Estradiol (5 mg), no D16 e D17 aplicou-se Dexametasona (Azium®-MSD 20 mg) + Valerato de Estradiol (5 mg) e por fim, nos dias 12 ao 17 ocorreram 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adaptação da ordenha. Outrossim, o grupo controle obteve as mesmas aplicações hormonais que o grupo tratamento, com exceção do estrogênio, sendo o Benzoato de Estradiol (Sincrodiol®-Ouro fino 30 mg) do D0 ao D17. </w:t>
      </w:r>
    </w:p>
    <w:p w14:paraId="75B7453F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Avaliando a progesterona, foram escolhidos 06 animais (05 vacas e 01 novilha) de uma propriedade externa ao IFC Concórdia. O grupo controle fez-se o uso de dispositivo intravaginal de progesterona (Fertilcare Implante 1200 mg®- MSD) no D0 retirando-o no D8. Em ambos os protocolos foram utilizados: do D0 ao D8 Benzoato de Estradiol (Sincrodiol - 30mg/dia), D8 a D15 Benzoato de Estradiol (Sincrodiol - 20mg/dia), no D16 D-Cloprostenol Sódico (Sincrocio - 0,526mg/dia), já no D17 aplicou-se Dexametasona (Cortifl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an - 40mg/mL) e iniciou-se a adaptação para a ordenha até o D22. O grupo tratamento diferiu em seu protocolo no tipo de progesterona utilizada, consistiu no uso de Progesterona injetável (Sincrogest - 300mg/dia - Ouro Fino®). </w:t>
      </w:r>
    </w:p>
    <w:p w14:paraId="12E87308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A"/>
        </w:rPr>
      </w:pPr>
      <w:r>
        <w:rPr>
          <w:rFonts w:ascii="Arial" w:eastAsia="Arial" w:hAnsi="Arial" w:cs="Arial"/>
          <w:color w:val="000000"/>
          <w:sz w:val="22"/>
          <w:szCs w:val="22"/>
        </w:rPr>
        <w:t>Para fins de análise comparativa entre os protocolos e sua eficiência, foram quantificadas a produção média leiteira mensal de cada animal induzido através da produção diária registrada. Ainda, registrou-se a quantidade de inseminações realizadas e quando os animais emprenharam dos animais protocolados</w:t>
      </w:r>
      <w:r>
        <w:rPr>
          <w:rFonts w:ascii="Cambria" w:eastAsia="Cambria" w:hAnsi="Cambria" w:cs="Cambria"/>
          <w:noProof/>
          <w:color w:val="00000A"/>
        </w:rPr>
        <w:drawing>
          <wp:anchor distT="152400" distB="152400" distL="152400" distR="152400" simplePos="0" relativeHeight="251658240" behindDoc="0" locked="0" layoutInCell="1" hidden="0" allowOverlap="1" wp14:anchorId="286F5E7B" wp14:editId="53884A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 distT="152400" distB="152400"/>
            <wp:docPr id="4" name="image1.jpg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beçalho SBSS-0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7A91B82B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35347A7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Resultados e discussões: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CF09939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color w:val="000000"/>
          <w:sz w:val="22"/>
          <w:szCs w:val="22"/>
        </w:rPr>
        <w:t>s animais protocolados produzi</w:t>
      </w:r>
      <w:r>
        <w:rPr>
          <w:rFonts w:ascii="Arial" w:eastAsia="Arial" w:hAnsi="Arial" w:cs="Arial"/>
          <w:sz w:val="22"/>
          <w:szCs w:val="22"/>
        </w:rPr>
        <w:t>ram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5.200,2 L de leite, os animais</w:t>
      </w:r>
      <w:r>
        <w:rPr>
          <w:rFonts w:ascii="Arial" w:eastAsia="Arial" w:hAnsi="Arial" w:cs="Arial"/>
          <w:sz w:val="22"/>
          <w:szCs w:val="22"/>
        </w:rPr>
        <w:t xml:space="preserve"> do primeiro experimento produziram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3.875 L (sendo o grupo controle responsável por 1.807,7 L e o grupo tratamento 2068,2 L); já os animais </w:t>
      </w:r>
      <w:r>
        <w:rPr>
          <w:rFonts w:ascii="Arial" w:eastAsia="Arial" w:hAnsi="Arial" w:cs="Arial"/>
          <w:sz w:val="22"/>
          <w:szCs w:val="22"/>
        </w:rPr>
        <w:t>do segundo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produziram 1.324,3 L (o grupo controle foi responsável por 731,2 L e o grupo tratamento por 593,1 L). </w:t>
      </w:r>
    </w:p>
    <w:p w14:paraId="65330B74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>mbos os protocolos em quantitativo de produção, visando uma produção média, não são satisfatórios. Isso se d</w:t>
      </w:r>
      <w:r>
        <w:rPr>
          <w:rFonts w:ascii="Arial" w:eastAsia="Arial" w:hAnsi="Arial" w:cs="Arial"/>
          <w:sz w:val="22"/>
          <w:szCs w:val="22"/>
        </w:rPr>
        <w:t>eu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por diversos quesitos desde a ambiência e o tipo de manejo que os animais </w:t>
      </w:r>
      <w:r>
        <w:rPr>
          <w:rFonts w:ascii="Arial" w:eastAsia="Arial" w:hAnsi="Arial" w:cs="Arial"/>
          <w:sz w:val="22"/>
          <w:szCs w:val="22"/>
        </w:rPr>
        <w:t>foram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submetidos, os estresses sofridos pré, durante e pós ordenha (estresses térmicos, restrições hídricas e/ou alimentares, quantidade de espaço e número de animais),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genética (sendo um fator muito importante e decisivo), padrão racial, nutrição, índices metabólicos, compondo assim, a fisiologia única de cada animal. </w:t>
      </w:r>
    </w:p>
    <w:p w14:paraId="724B42C5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substituição 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estrógeno visou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redução de volume e frequência de aplicação d</w:t>
      </w:r>
      <w:r>
        <w:rPr>
          <w:rFonts w:ascii="Arial" w:eastAsia="Arial" w:hAnsi="Arial" w:cs="Arial"/>
          <w:sz w:val="22"/>
          <w:szCs w:val="22"/>
        </w:rPr>
        <w:t>essa família 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hormônios, pois, suas composições são oleaginosas e causam maiores desconfortos quando comparado com outros fármacos, beneficiando o bem-estar animal e reduzindo custos. </w:t>
      </w:r>
      <w:r>
        <w:rPr>
          <w:rFonts w:ascii="Arial" w:eastAsia="Arial" w:hAnsi="Arial" w:cs="Arial"/>
          <w:sz w:val="22"/>
          <w:szCs w:val="22"/>
        </w:rPr>
        <w:t xml:space="preserve">Já o uso da progesterona injetável </w:t>
      </w:r>
      <w:r>
        <w:rPr>
          <w:rFonts w:ascii="Arial" w:eastAsia="Arial" w:hAnsi="Arial" w:cs="Arial"/>
          <w:color w:val="000000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eve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como intuito principal uma alternativa para produtores quanto ao descarte inadequado de implantes intravaginais de progesterona, sendo, estes, diminuindo os impactos ambientais. O volume aplicado de progesterona injetável </w:t>
      </w:r>
      <w:r>
        <w:rPr>
          <w:rFonts w:ascii="Arial" w:eastAsia="Arial" w:hAnsi="Arial" w:cs="Arial"/>
          <w:sz w:val="22"/>
          <w:szCs w:val="22"/>
        </w:rPr>
        <w:t>foi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2mL. </w:t>
      </w:r>
    </w:p>
    <w:p w14:paraId="4C4D7368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Dos 12 animais induzidos, 09 foram inseminados, obtendo 75% dos animais voltando a sua vida reprodutiva. Assim, a indução da lactação mostr</w:t>
      </w:r>
      <w:r>
        <w:rPr>
          <w:rFonts w:ascii="Arial" w:eastAsia="Arial" w:hAnsi="Arial" w:cs="Arial"/>
          <w:sz w:val="22"/>
          <w:szCs w:val="22"/>
        </w:rPr>
        <w:t>ou</w:t>
      </w:r>
      <w:r>
        <w:rPr>
          <w:rFonts w:ascii="Arial" w:eastAsia="Arial" w:hAnsi="Arial" w:cs="Arial"/>
          <w:color w:val="000000"/>
          <w:sz w:val="22"/>
          <w:szCs w:val="22"/>
        </w:rPr>
        <w:t>-se efetiv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no prolongamento da vida produtiva destas va</w:t>
      </w:r>
      <w:r>
        <w:rPr>
          <w:rFonts w:ascii="Arial" w:eastAsia="Arial" w:hAnsi="Arial" w:cs="Arial"/>
          <w:sz w:val="22"/>
          <w:szCs w:val="22"/>
        </w:rPr>
        <w:t>cas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mas não corrige as falhas reprodutivas adquiridas. </w:t>
      </w:r>
      <w:r>
        <w:rPr>
          <w:rFonts w:ascii="Arial" w:eastAsia="Arial" w:hAnsi="Arial" w:cs="Arial"/>
          <w:sz w:val="22"/>
          <w:szCs w:val="22"/>
        </w:rPr>
        <w:t>Os protocolos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não tratam a infertilidade, pois há diversos fatores individuais ou do rebanho que influenciam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reprodu</w:t>
      </w:r>
      <w:r>
        <w:rPr>
          <w:rFonts w:ascii="Arial" w:eastAsia="Arial" w:hAnsi="Arial" w:cs="Arial"/>
          <w:sz w:val="22"/>
          <w:szCs w:val="22"/>
        </w:rPr>
        <w:t>ção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animal</w:t>
      </w:r>
      <w:r>
        <w:rPr>
          <w:rFonts w:ascii="Arial" w:eastAsia="Arial" w:hAnsi="Arial" w:cs="Arial"/>
          <w:sz w:val="22"/>
          <w:szCs w:val="22"/>
        </w:rPr>
        <w:t>, como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status sanitário, ambiente, nutrição, manejo, índices zootécnicos, idade, peso, categoria, questões metabólicas e hormonais individuais.</w:t>
      </w:r>
    </w:p>
    <w:p w14:paraId="52512FBA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FA0CF56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Conclusão</w:t>
      </w: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anchor distT="152400" distB="152400" distL="152400" distR="152400" simplePos="0" relativeHeight="251659264" behindDoc="0" locked="0" layoutInCell="1" hidden="0" allowOverlap="1" wp14:anchorId="2E8CFB56" wp14:editId="7192D1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 distT="152400" distB="152400"/>
            <wp:docPr id="6" name="image1.jpg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abeçalho SBSS-0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273EC4C6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Adaptações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são viáveis para a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color w:val="000000"/>
          <w:sz w:val="22"/>
          <w:szCs w:val="22"/>
        </w:rPr>
        <w:t>dução da lactação, melhoram o bem-estar animal e redu</w:t>
      </w:r>
      <w:r>
        <w:rPr>
          <w:rFonts w:ascii="Arial" w:eastAsia="Arial" w:hAnsi="Arial" w:cs="Arial"/>
          <w:sz w:val="22"/>
          <w:szCs w:val="22"/>
        </w:rPr>
        <w:t>zem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impactos ambientais. Eles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color w:val="000000"/>
          <w:sz w:val="22"/>
          <w:szCs w:val="22"/>
        </w:rPr>
        <w:t>avorecem o retorno da vida reprodutiva, mas não a correção da infertilidade. Assim, a substituição do implante intravaginal de progestores p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progesterona injetável de longa ação, bem como, a troca do Benzoato de Estradiol p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Valerato de Estradiol s</w:t>
      </w:r>
      <w:r>
        <w:rPr>
          <w:rFonts w:ascii="Arial" w:eastAsia="Arial" w:hAnsi="Arial" w:cs="Arial"/>
          <w:sz w:val="22"/>
          <w:szCs w:val="22"/>
        </w:rPr>
        <w:t>ão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eficientes nos protocolos de indução da lactação.</w:t>
      </w:r>
    </w:p>
    <w:p w14:paraId="2E0FB20D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B2E798F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Agradecimento: Instituição de fomento ou colaborador do projeto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30FA3ED0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Agradecemos ao Instituto Federal Catarinense Campus Concórdia, especialmente ao setor de zootecnia e ao CNPq pela concessão da bolsa. Ao meu orientador e professor Doutor Lucio Pereira Rauber. Além do Laboratório de Inspeção e Tecnologias de Produtos de Origem Animal à professora Doutora Luisa Wolker Fava e ao discente Paulo Ricardo Rocha da Silva por todo apoio e ensinamentos gerados durante a execução do projeto. Também, a propriedade externa à Instituição pela disponibilidade dos animais avaliados. Por f</w:t>
      </w:r>
      <w:r>
        <w:rPr>
          <w:rFonts w:ascii="Arial" w:eastAsia="Arial" w:hAnsi="Arial" w:cs="Arial"/>
          <w:color w:val="000000"/>
          <w:sz w:val="22"/>
          <w:szCs w:val="22"/>
        </w:rPr>
        <w:t>im, agradeço a empresa MTS, Distribuidora MSD, pelo patrocínio dos medicamentos utilizados no projeto.</w:t>
      </w:r>
    </w:p>
    <w:p w14:paraId="0B487F91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7529485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Referências: </w:t>
      </w:r>
    </w:p>
    <w:p w14:paraId="3618B105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C4BECA6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  <w:highlight w:val="white"/>
        </w:rPr>
      </w:pP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IBGE. Estatística da Produção Pecuária. 2023.</w:t>
      </w:r>
    </w:p>
    <w:p w14:paraId="37C2825C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C0FC62F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  <w:highlight w:val="white"/>
        </w:rPr>
      </w:pP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MACHADO, João Matheus Costa; GONÇALVES, Antonio Fernando Castilho. Protocolo de indução de lactação para vacas holandesas. 2015. </w:t>
      </w:r>
    </w:p>
    <w:p w14:paraId="4432CCD8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BE95727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  <w:highlight w:val="white"/>
        </w:rPr>
      </w:pP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NAHMS. Part I: Reference of Dairy Cattle Healthand Management Practices in the United States. USDA, Washington, DC. 2007.</w:t>
      </w:r>
    </w:p>
    <w:p w14:paraId="71C16774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3AAC9C0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111111"/>
          <w:sz w:val="22"/>
          <w:szCs w:val="22"/>
          <w:highlight w:val="white"/>
        </w:rPr>
      </w:pP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Oliveira M. L.; Ferreira C. Y .M. R. Indução da lactação em vacas. Alm. Med. Vet. Zoo. 2016.</w:t>
      </w:r>
    </w:p>
    <w:p w14:paraId="6A0A80EC" w14:textId="77777777" w:rsidR="00AC452D" w:rsidRDefault="00AC452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000C416" w14:textId="77777777" w:rsidR="00AC452D" w:rsidRDefault="00E753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VILELA, D. et al. A evolução do leite no Brasil em cinco décadas.</w:t>
      </w:r>
      <w:r>
        <w:rPr>
          <w:rFonts w:ascii="Arial" w:eastAsia="Arial" w:hAnsi="Arial" w:cs="Arial"/>
          <w:b/>
          <w:color w:val="111111"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color w:val="111111"/>
          <w:sz w:val="22"/>
          <w:szCs w:val="22"/>
          <w:highlight w:val="white"/>
        </w:rPr>
        <w:t>Embrapa, 2017. </w:t>
      </w:r>
    </w:p>
    <w:sectPr w:rsidR="00AC452D">
      <w:headerReference w:type="default" r:id="rId8"/>
      <w:footerReference w:type="default" r:id="rId9"/>
      <w:pgSz w:w="11906" w:h="16838"/>
      <w:pgMar w:top="1418" w:right="1418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6F30D" w14:textId="77777777" w:rsidR="00E75308" w:rsidRDefault="00E75308">
      <w:r>
        <w:separator/>
      </w:r>
    </w:p>
  </w:endnote>
  <w:endnote w:type="continuationSeparator" w:id="0">
    <w:p w14:paraId="04E2237E" w14:textId="77777777" w:rsidR="00E75308" w:rsidRDefault="00E7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1756" w14:textId="77777777" w:rsidR="00AC452D" w:rsidRDefault="00AC452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8179" w14:textId="77777777" w:rsidR="00E75308" w:rsidRDefault="00E75308">
      <w:r>
        <w:separator/>
      </w:r>
    </w:p>
  </w:footnote>
  <w:footnote w:type="continuationSeparator" w:id="0">
    <w:p w14:paraId="4E62477E" w14:textId="77777777" w:rsidR="00E75308" w:rsidRDefault="00E7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A9A23" w14:textId="77777777" w:rsidR="00AC452D" w:rsidRDefault="00E75308">
    <w:pPr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A"/>
      </w:rPr>
    </w:pPr>
    <w:r>
      <w:rPr>
        <w:rFonts w:ascii="Cambria" w:eastAsia="Cambria" w:hAnsi="Cambria" w:cs="Cambria"/>
        <w:noProof/>
        <w:color w:val="00000A"/>
      </w:rPr>
      <w:drawing>
        <wp:anchor distT="152400" distB="152400" distL="152400" distR="152400" simplePos="0" relativeHeight="251658240" behindDoc="0" locked="0" layoutInCell="1" hidden="0" allowOverlap="1" wp14:anchorId="68BD0FE7" wp14:editId="3817ED15">
          <wp:simplePos x="0" y="0"/>
          <wp:positionH relativeFrom="page">
            <wp:posOffset>152400</wp:posOffset>
          </wp:positionH>
          <wp:positionV relativeFrom="page">
            <wp:posOffset>152400</wp:posOffset>
          </wp:positionV>
          <wp:extent cx="7556500" cy="1115060"/>
          <wp:effectExtent l="0" t="0" r="0" b="0"/>
          <wp:wrapTopAndBottom distT="152400" distB="152400"/>
          <wp:docPr id="5" name="image1.jpg" descr="Cabeçalho SBSS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beçalho SBSS-0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500" cy="1115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2D"/>
    <w:rsid w:val="00AC452D"/>
    <w:rsid w:val="00E7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EBCE"/>
  <w15:docId w15:val="{2095CCDB-5A08-4F33-B686-2C3CAC83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LinkdaInternet">
    <w:name w:val="Link da Internet"/>
    <w:rPr>
      <w:u w:val="singl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qFormat/>
    <w:rsid w:val="005416FC"/>
    <w:pPr>
      <w:spacing w:beforeAutospacing="1" w:afterAutospacing="1"/>
    </w:pPr>
    <w:rPr>
      <w:lang w:val="pt-BR" w:eastAsia="pt-BR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4510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07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07D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0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07D"/>
    <w:rPr>
      <w:b/>
      <w:bCs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uv8ArvGxvoor/GhSj5RVz5T4tQ==">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1611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Iara Frade</cp:lastModifiedBy>
  <cp:revision>2</cp:revision>
  <dcterms:created xsi:type="dcterms:W3CDTF">2023-10-26T14:52:00Z</dcterms:created>
  <dcterms:modified xsi:type="dcterms:W3CDTF">2023-10-26T14:52:00Z</dcterms:modified>
</cp:coreProperties>
</file>