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7555" w14:textId="77777777" w:rsidR="00827570" w:rsidRDefault="00000000">
      <w:pPr>
        <w:spacing w:line="276" w:lineRule="auto"/>
        <w:ind w:right="280"/>
        <w:rPr>
          <w:rFonts w:ascii="Cambria" w:eastAsia="Cambria" w:hAnsi="Cambria" w:cs="Cambria"/>
          <w:color w:val="00000A"/>
        </w:rPr>
      </w:pPr>
      <w:r>
        <w:rPr>
          <w:rFonts w:ascii="Cambria" w:eastAsia="Cambria" w:hAnsi="Cambria" w:cs="Cambria"/>
          <w:noProof/>
          <w:color w:val="00000A"/>
        </w:rPr>
        <w:drawing>
          <wp:anchor distT="0" distB="0" distL="0" distR="0" simplePos="0" relativeHeight="2" behindDoc="1" locked="0" layoutInCell="0" allowOverlap="1" wp14:anchorId="4DB3C3C5" wp14:editId="046A361C">
            <wp:simplePos x="0" y="0"/>
            <wp:positionH relativeFrom="page">
              <wp:posOffset>69850</wp:posOffset>
            </wp:positionH>
            <wp:positionV relativeFrom="page">
              <wp:align>top</wp:align>
            </wp:positionV>
            <wp:extent cx="7556500" cy="1115060"/>
            <wp:effectExtent l="0" t="0" r="0" b="0"/>
            <wp:wrapNone/>
            <wp:docPr id="1" name="image1.jpg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01EC3" w14:textId="77777777" w:rsidR="00827570" w:rsidRDefault="00827570">
      <w:pPr>
        <w:widowControl w:val="0"/>
        <w:ind w:left="178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/>
      <w:bookmarkEnd w:id="0"/>
    </w:p>
    <w:p w14:paraId="6B9835B6" w14:textId="56ABAFEC" w:rsidR="005C3B5E" w:rsidRDefault="00000000" w:rsidP="005C3B5E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DIGESTIBILIDADE DE NUTRIENTES EM DIETAS DE VACAS LEITEIRAS SOB CONDIÇÕES EXPERIMENTAIS NO BRASIL: UMA ANÁLISE DO PROCESSO DE ALIMENTAÇÃO E EFICIÊNCIA NUTRICIONAL</w:t>
      </w:r>
    </w:p>
    <w:p w14:paraId="04B8B995" w14:textId="77777777" w:rsidR="005C3B5E" w:rsidRDefault="005C3B5E" w:rsidP="005C3B5E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7959A38" w14:textId="77777777" w:rsidR="005C3B5E" w:rsidRDefault="005C3B5E" w:rsidP="005C3B5E">
      <w:pPr>
        <w:ind w:right="284"/>
        <w:jc w:val="center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sz w:val="20"/>
          <w:szCs w:val="20"/>
          <w:u w:val="single"/>
        </w:rPr>
        <w:t xml:space="preserve">Ana Luiza </w:t>
      </w:r>
      <w:proofErr w:type="spellStart"/>
      <w:r>
        <w:rPr>
          <w:rFonts w:ascii="Arial" w:eastAsia="Arial" w:hAnsi="Arial"/>
          <w:sz w:val="20"/>
          <w:szCs w:val="20"/>
          <w:u w:val="single"/>
        </w:rPr>
        <w:t>Cristovão</w:t>
      </w:r>
      <w:proofErr w:type="spellEnd"/>
      <w:r>
        <w:rPr>
          <w:rFonts w:ascii="Arial" w:eastAsia="Arial" w:hAnsi="Arial"/>
          <w:sz w:val="20"/>
          <w:szCs w:val="20"/>
          <w:u w:val="single"/>
        </w:rPr>
        <w:t xml:space="preserve"> Gonçalves</w:t>
      </w:r>
      <w:r>
        <w:rPr>
          <w:rFonts w:ascii="Arial" w:eastAsia="Arial" w:hAnsi="Arial"/>
          <w:color w:val="000000"/>
          <w:sz w:val="20"/>
          <w:szCs w:val="20"/>
          <w:u w:val="single"/>
          <w:vertAlign w:val="superscript"/>
        </w:rPr>
        <w:t>1</w:t>
      </w:r>
      <w:r>
        <w:rPr>
          <w:rFonts w:ascii="Arial" w:eastAsia="Arial" w:hAnsi="Arial"/>
          <w:b/>
          <w:color w:val="000000"/>
          <w:sz w:val="20"/>
          <w:szCs w:val="20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sz w:val="20"/>
          <w:szCs w:val="20"/>
        </w:rPr>
        <w:t>João Pedro Velho</w:t>
      </w:r>
      <w:r>
        <w:rPr>
          <w:rFonts w:ascii="Arial" w:eastAsia="Arial" w:hAnsi="Arial"/>
          <w:sz w:val="20"/>
          <w:szCs w:val="20"/>
          <w:vertAlign w:val="superscript"/>
        </w:rPr>
        <w:t>2</w:t>
      </w:r>
      <w:r>
        <w:rPr>
          <w:rFonts w:ascii="Arial" w:eastAsia="Arial" w:hAnsi="Arial"/>
          <w:color w:val="000000"/>
          <w:sz w:val="20"/>
          <w:szCs w:val="20"/>
        </w:rPr>
        <w:t xml:space="preserve">, </w:t>
      </w:r>
      <w:r>
        <w:rPr>
          <w:rFonts w:ascii="Arial" w:eastAsia="Arial" w:hAnsi="Arial"/>
          <w:sz w:val="20"/>
          <w:szCs w:val="20"/>
        </w:rPr>
        <w:t>Dileta Regina Moro Alessio</w:t>
      </w:r>
      <w:r>
        <w:rPr>
          <w:rFonts w:ascii="Arial" w:eastAsia="Arial" w:hAnsi="Arial"/>
          <w:sz w:val="20"/>
          <w:szCs w:val="20"/>
          <w:vertAlign w:val="superscript"/>
        </w:rPr>
        <w:t>3</w:t>
      </w:r>
      <w:r>
        <w:rPr>
          <w:rFonts w:ascii="Arial" w:eastAsia="Arial" w:hAnsi="Arial"/>
          <w:color w:val="000000"/>
          <w:sz w:val="20"/>
          <w:szCs w:val="20"/>
        </w:rPr>
        <w:t>, Deise Aline Knob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4</w:t>
      </w:r>
      <w:r>
        <w:rPr>
          <w:rFonts w:ascii="Arial" w:eastAsia="Arial" w:hAnsi="Arial"/>
          <w:color w:val="000000"/>
          <w:sz w:val="20"/>
          <w:szCs w:val="20"/>
        </w:rPr>
        <w:t>, Ione Maria Pereira Haygert-Velho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/>
          <w:color w:val="000000"/>
          <w:sz w:val="20"/>
          <w:szCs w:val="20"/>
        </w:rPr>
        <w:t>, Eduarda dos Santos Haas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/>
          <w:color w:val="000000"/>
          <w:sz w:val="20"/>
          <w:szCs w:val="20"/>
        </w:rPr>
        <w:t>, Gabriela Elena Scheineider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/>
          <w:color w:val="000000"/>
          <w:sz w:val="20"/>
          <w:szCs w:val="20"/>
        </w:rPr>
        <w:t xml:space="preserve">, André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Thaler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Neto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5</w:t>
      </w:r>
    </w:p>
    <w:p w14:paraId="514A2B16" w14:textId="77777777" w:rsidR="005C3B5E" w:rsidRDefault="005C3B5E" w:rsidP="005C3B5E">
      <w:pPr>
        <w:ind w:right="284"/>
        <w:jc w:val="center"/>
        <w:rPr>
          <w:rFonts w:ascii="Arial" w:eastAsia="Arial" w:hAnsi="Arial"/>
          <w:color w:val="000000"/>
          <w:sz w:val="22"/>
          <w:szCs w:val="22"/>
        </w:rPr>
      </w:pPr>
    </w:p>
    <w:p w14:paraId="69D1C89A" w14:textId="31925AA1" w:rsidR="00827570" w:rsidRPr="005C3B5E" w:rsidRDefault="005C3B5E" w:rsidP="005C3B5E">
      <w:pPr>
        <w:ind w:right="284"/>
        <w:jc w:val="center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/>
          <w:color w:val="000000"/>
          <w:sz w:val="20"/>
          <w:szCs w:val="20"/>
        </w:rPr>
        <w:t xml:space="preserve"> Discente. Curso de Zootecnia, Universidade Federal de Santa Maria, Campus Palmeira das Missões; 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/>
          <w:color w:val="000000"/>
          <w:sz w:val="20"/>
          <w:szCs w:val="20"/>
        </w:rPr>
        <w:t xml:space="preserve">Docente. Departamento de Zootecnia e Ciências Biológicas; 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3</w:t>
      </w:r>
      <w:r>
        <w:rPr>
          <w:rFonts w:ascii="Arial" w:eastAsia="Arial" w:hAnsi="Arial"/>
          <w:color w:val="000000"/>
          <w:sz w:val="20"/>
          <w:szCs w:val="20"/>
        </w:rPr>
        <w:t xml:space="preserve">Centro Universitário Leonardo da Vinci-UNIASSELVI; 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4</w:t>
      </w:r>
      <w:r>
        <w:rPr>
          <w:rFonts w:ascii="Arial" w:eastAsia="Arial" w:hAnsi="Arial"/>
          <w:color w:val="000000"/>
          <w:sz w:val="20"/>
          <w:szCs w:val="20"/>
        </w:rPr>
        <w:t xml:space="preserve">JUSTUS-LIEBIG-UNIVERSITAT GIESSEN; </w:t>
      </w:r>
      <w:r>
        <w:rPr>
          <w:rFonts w:ascii="Arial" w:eastAsia="Arial" w:hAnsi="Arial"/>
          <w:color w:val="000000"/>
          <w:sz w:val="20"/>
          <w:szCs w:val="20"/>
          <w:vertAlign w:val="superscript"/>
        </w:rPr>
        <w:t>5</w:t>
      </w:r>
      <w:r>
        <w:rPr>
          <w:rFonts w:ascii="Arial" w:eastAsia="Arial" w:hAnsi="Arial"/>
          <w:color w:val="000000"/>
          <w:sz w:val="20"/>
          <w:szCs w:val="20"/>
        </w:rPr>
        <w:t xml:space="preserve">Departamento de Produção Animal e Alimentos, Centro de Ciências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Agroveterinárias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da Universidade Estadual de Santa Catarina, E-mail: analuizac.goncalves@gmail.com</w:t>
      </w:r>
    </w:p>
    <w:p w14:paraId="30099B8E" w14:textId="77777777" w:rsidR="00827570" w:rsidRDefault="00827570">
      <w:pPr>
        <w:jc w:val="both"/>
        <w:rPr>
          <w:rFonts w:ascii="Arial" w:eastAsia="Arial" w:hAnsi="Arial" w:cs="Arial"/>
          <w:sz w:val="20"/>
          <w:szCs w:val="20"/>
        </w:rPr>
      </w:pPr>
    </w:p>
    <w:p w14:paraId="7BA167BB" w14:textId="0A64BDB5" w:rsidR="0082757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Contribuição para a sociedade</w:t>
      </w:r>
      <w:r>
        <w:rPr>
          <w:rFonts w:ascii="Arial" w:eastAsia="Arial" w:hAnsi="Arial" w:cs="Arial"/>
          <w:color w:val="000000"/>
          <w:sz w:val="22"/>
          <w:szCs w:val="22"/>
        </w:rPr>
        <w:t>: Ob</w:t>
      </w:r>
      <w:r>
        <w:rPr>
          <w:rFonts w:ascii="Arial" w:eastAsia="Arial" w:hAnsi="Arial" w:cs="Arial"/>
          <w:sz w:val="22"/>
          <w:szCs w:val="22"/>
        </w:rPr>
        <w:t>jetivou-se analisar a digestibilidade de nutrientes em dietas de vacas em lactação sob condições experimentais no Brasil. A partir de uma análise descritiva de 670 tratamentos obtivemos a média o máximo e o mínimo da digestibilidade dos nutrientes da dieta. Os resultados demonstram que a digestibilidade média da matéria seca é de 65,35% e a de fibra em detergente neutro de 48,31%. O consumo de nutrientes digestíveis totais é influenciado diretamente por estes dois fatores portanto é fundamental que esses fatores estejam dentro dos parâmetros desejados para garantir a qualidade e quantidade do leite produzido. Outro fator destaque é a digestibilidade de carboidratos não fibrosos que apresentou média de 83,37% e máxima de 100%. Estes são essenciais para vacas em lactação pois elas possuem uma demanda muito alta de energia para manter sua produção. Conclui-se que a digestibilidade dos nutrientes das dietas ofertados para vacas em lactação é importante e é indispensável que estejam dentro dos padrões de exigência nutricional.</w:t>
      </w:r>
    </w:p>
    <w:p w14:paraId="7A156645" w14:textId="77777777" w:rsidR="00827570" w:rsidRDefault="00827570">
      <w:pPr>
        <w:jc w:val="both"/>
        <w:rPr>
          <w:rFonts w:ascii="Arial" w:eastAsia="Arial" w:hAnsi="Arial" w:cs="Arial"/>
          <w:sz w:val="22"/>
          <w:szCs w:val="22"/>
        </w:rPr>
      </w:pPr>
    </w:p>
    <w:p w14:paraId="2201504A" w14:textId="77777777" w:rsidR="0082757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Palavras-chave</w:t>
      </w:r>
      <w:r>
        <w:rPr>
          <w:rFonts w:ascii="Arial" w:eastAsia="Arial" w:hAnsi="Arial" w:cs="Arial"/>
          <w:color w:val="000000"/>
          <w:sz w:val="22"/>
          <w:szCs w:val="22"/>
        </w:rPr>
        <w:t>: bov</w:t>
      </w:r>
      <w:r>
        <w:rPr>
          <w:rFonts w:ascii="Arial" w:eastAsia="Arial" w:hAnsi="Arial" w:cs="Arial"/>
          <w:sz w:val="22"/>
          <w:szCs w:val="22"/>
        </w:rPr>
        <w:t xml:space="preserve">inocultura de leite, demanda energética, matéria seca, fibra em detergente neutro. </w:t>
      </w:r>
    </w:p>
    <w:p w14:paraId="2771FE07" w14:textId="77777777" w:rsidR="00827570" w:rsidRDefault="00827570">
      <w:pPr>
        <w:jc w:val="both"/>
        <w:rPr>
          <w:rFonts w:ascii="Arial" w:eastAsia="Arial" w:hAnsi="Arial" w:cs="Arial"/>
          <w:sz w:val="22"/>
          <w:szCs w:val="22"/>
        </w:rPr>
      </w:pPr>
    </w:p>
    <w:p w14:paraId="5B2B0F89" w14:textId="55CE72CA" w:rsidR="0082757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Introdução: </w:t>
      </w:r>
      <w:r>
        <w:rPr>
          <w:rFonts w:ascii="Arial" w:eastAsia="Arial" w:hAnsi="Arial" w:cs="Arial"/>
          <w:sz w:val="22"/>
          <w:szCs w:val="22"/>
        </w:rPr>
        <w:t xml:space="preserve">O aumento contínuo da população global e as projeções que apontam para um crescimento até </w:t>
      </w:r>
      <w:r w:rsidR="004559F0" w:rsidRPr="00592D42">
        <w:rPr>
          <w:rFonts w:ascii="Arial" w:eastAsia="Arial" w:hAnsi="Arial" w:cs="Arial"/>
          <w:sz w:val="22"/>
          <w:szCs w:val="22"/>
        </w:rPr>
        <w:t>2050 de</w:t>
      </w:r>
      <w:r w:rsidR="004559F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9,687 bilhões de pessoas (ONU, 2019)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destacam a necessidade iminente de aumentar a produção de alimentos para suprir essa demanda crescente. No âmbito da produção de leite, o custo de produção está fortemente influenciado pelo manejo nutricional dos animais, representando cerca de 70% dos custos totais, com destaque para os alimentos concentrados, que são os mais dispendiosos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(GOES et al., 2013).</w:t>
      </w:r>
    </w:p>
    <w:p w14:paraId="1DFFCF11" w14:textId="77777777" w:rsidR="00827570" w:rsidRDefault="00000000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digestibilidade dos nutrientes, a composição dos dejetos, bem como a composição do leite são variáveis ​​que dependem da composição dos nutrientes e dos ingredientes presentes nas dietas dos animais (NRC, 2001). O consumo de nutrientes digestíveis totais (NDT) é influenciado pela proporção de volumoso da dieta e principalmente pela digestibilidade da matéria seca (MS) e da fibra em detergente neutro (FDN), impactando diretamente o aproveitamento dos nutrientes da dieta e pode comprometer a produção e composição do leite. </w:t>
      </w:r>
    </w:p>
    <w:p w14:paraId="23C044A0" w14:textId="7E121E2E" w:rsidR="00827570" w:rsidRDefault="00000000" w:rsidP="004559F0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Portanto, compreender a digestibilidade aparente dos alimentos é necessário para otimizar a escolha dos alimentos, aumentar a eficiência da produção e reduzir os custos gerais. Essa abordagem visa garantir maior lucratividade nas propriedades, aprimorar a produtividade e eficiência dos animais, atender o constante aumento de demanda pela população e garantir uma produção atendendo os pilares da sustentabilidade. </w:t>
      </w:r>
      <w:r w:rsidR="004559F0" w:rsidRPr="00592D42">
        <w:rPr>
          <w:rFonts w:ascii="Arial" w:eastAsia="Arial" w:hAnsi="Arial" w:cs="Arial"/>
          <w:sz w:val="22"/>
          <w:szCs w:val="22"/>
        </w:rPr>
        <w:t>O objetivo deste</w:t>
      </w:r>
      <w:r w:rsidR="004559F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estudo</w:t>
      </w:r>
      <w:r w:rsidR="004559F0">
        <w:rPr>
          <w:rFonts w:ascii="Arial" w:eastAsia="Arial" w:hAnsi="Arial" w:cs="Arial"/>
          <w:sz w:val="22"/>
          <w:szCs w:val="22"/>
        </w:rPr>
        <w:t xml:space="preserve"> </w:t>
      </w:r>
      <w:r w:rsidR="00D3344E" w:rsidRPr="00592D42">
        <w:rPr>
          <w:rFonts w:ascii="Arial" w:eastAsia="Arial" w:hAnsi="Arial" w:cs="Arial"/>
          <w:sz w:val="22"/>
          <w:szCs w:val="22"/>
        </w:rPr>
        <w:t xml:space="preserve">foi </w:t>
      </w:r>
      <w:r w:rsidRPr="00592D42">
        <w:rPr>
          <w:rFonts w:ascii="Arial" w:eastAsia="Arial" w:hAnsi="Arial" w:cs="Arial"/>
          <w:sz w:val="22"/>
          <w:szCs w:val="22"/>
        </w:rPr>
        <w:t>avaliar</w:t>
      </w:r>
      <w:r w:rsidR="00D3344E" w:rsidRPr="00592D42">
        <w:rPr>
          <w:rFonts w:ascii="Arial" w:eastAsia="Arial" w:hAnsi="Arial" w:cs="Arial"/>
          <w:sz w:val="22"/>
          <w:szCs w:val="22"/>
        </w:rPr>
        <w:t>, por meio de banco de dados,</w:t>
      </w:r>
      <w:r>
        <w:rPr>
          <w:rFonts w:ascii="Arial" w:eastAsia="Arial" w:hAnsi="Arial" w:cs="Arial"/>
          <w:sz w:val="22"/>
          <w:szCs w:val="22"/>
        </w:rPr>
        <w:t xml:space="preserve"> a digestibilidade aparente dos nutrientes da dieta de vacas leiteiras em condições experimentais no Brasil.</w:t>
      </w:r>
    </w:p>
    <w:p w14:paraId="22156C3E" w14:textId="068AAE4E" w:rsidR="00827570" w:rsidRDefault="0000000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drawing>
          <wp:anchor distT="0" distB="0" distL="0" distR="0" simplePos="0" relativeHeight="3" behindDoc="1" locked="0" layoutInCell="0" allowOverlap="1" wp14:anchorId="79AA85F8" wp14:editId="66EAAB10">
            <wp:simplePos x="0" y="0"/>
            <wp:positionH relativeFrom="page">
              <wp:posOffset>-61595</wp:posOffset>
            </wp:positionH>
            <wp:positionV relativeFrom="page">
              <wp:align>top</wp:align>
            </wp:positionV>
            <wp:extent cx="7556500" cy="1115060"/>
            <wp:effectExtent l="0" t="0" r="0" b="0"/>
            <wp:wrapNone/>
            <wp:docPr id="2" name="Figura1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385E4" w14:textId="77777777" w:rsidR="003E44CF" w:rsidRDefault="003E44CF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E65041" w14:textId="2493EC78" w:rsidR="00827570" w:rsidRDefault="003E44C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drawing>
          <wp:anchor distT="0" distB="0" distL="0" distR="0" simplePos="0" relativeHeight="251659264" behindDoc="1" locked="0" layoutInCell="0" allowOverlap="1" wp14:anchorId="2A88BF55" wp14:editId="1D7B771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115060"/>
            <wp:effectExtent l="0" t="0" r="6350" b="8890"/>
            <wp:wrapNone/>
            <wp:docPr id="1416597341" name="Imagem 1416597341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>Material e métodos:</w:t>
      </w:r>
      <w:r w:rsidR="0000000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sz w:val="22"/>
          <w:szCs w:val="22"/>
        </w:rPr>
        <w:t xml:space="preserve">Para a realização deste estudo utilizamos </w:t>
      </w:r>
      <w:r w:rsidR="00D3344E">
        <w:rPr>
          <w:rFonts w:ascii="Arial" w:eastAsia="Arial" w:hAnsi="Arial" w:cs="Arial"/>
          <w:sz w:val="22"/>
          <w:szCs w:val="22"/>
        </w:rPr>
        <w:t>os dados</w:t>
      </w:r>
      <w:r w:rsidR="0074185C">
        <w:rPr>
          <w:rFonts w:ascii="Arial" w:eastAsia="Arial" w:hAnsi="Arial" w:cs="Arial"/>
          <w:sz w:val="22"/>
          <w:szCs w:val="22"/>
        </w:rPr>
        <w:t xml:space="preserve"> descritivos</w:t>
      </w:r>
      <w:r w:rsidR="00D3344E">
        <w:rPr>
          <w:rFonts w:ascii="Arial" w:eastAsia="Arial" w:hAnsi="Arial" w:cs="Arial"/>
          <w:sz w:val="22"/>
          <w:szCs w:val="22"/>
        </w:rPr>
        <w:t xml:space="preserve"> de </w:t>
      </w:r>
      <w:r w:rsidR="00FF4CB8">
        <w:rPr>
          <w:rFonts w:ascii="Arial" w:eastAsia="Arial" w:hAnsi="Arial" w:cs="Arial"/>
          <w:sz w:val="22"/>
          <w:szCs w:val="22"/>
        </w:rPr>
        <w:t>(ALESSIO, 2017)</w:t>
      </w:r>
      <w:r w:rsidR="0074185C">
        <w:rPr>
          <w:rFonts w:ascii="Arial" w:eastAsia="Arial" w:hAnsi="Arial" w:cs="Arial"/>
          <w:sz w:val="22"/>
          <w:szCs w:val="22"/>
        </w:rPr>
        <w:t xml:space="preserve">, que consistiu em uma revisão sistemática de trabalhos </w:t>
      </w:r>
      <w:r w:rsidR="00000000">
        <w:rPr>
          <w:rFonts w:ascii="Arial" w:eastAsia="Arial" w:hAnsi="Arial" w:cs="Arial"/>
          <w:sz w:val="22"/>
          <w:szCs w:val="22"/>
        </w:rPr>
        <w:t>relacionados a número e a proporção de volumosos e dos ingredientes do concentrado, composição da dieta, consumo voluntário, digestibilidade aparente dos nutrientes, produção e composição do leite das vacas leiteiras em condições experimentais no Brasil</w:t>
      </w:r>
      <w:r w:rsidR="0074185C">
        <w:rPr>
          <w:rFonts w:ascii="Arial" w:eastAsia="Arial" w:hAnsi="Arial" w:cs="Arial"/>
          <w:sz w:val="22"/>
          <w:szCs w:val="22"/>
        </w:rPr>
        <w:t>.</w:t>
      </w:r>
      <w:r w:rsidR="00000000">
        <w:rPr>
          <w:rFonts w:ascii="Arial" w:eastAsia="Arial" w:hAnsi="Arial" w:cs="Arial"/>
          <w:sz w:val="22"/>
          <w:szCs w:val="22"/>
        </w:rPr>
        <w:t xml:space="preserve"> </w:t>
      </w:r>
      <w:r w:rsidR="0074185C">
        <w:rPr>
          <w:rFonts w:ascii="Arial" w:eastAsia="Arial" w:hAnsi="Arial" w:cs="Arial"/>
          <w:sz w:val="22"/>
          <w:szCs w:val="22"/>
        </w:rPr>
        <w:t xml:space="preserve">Os trabalhos utilizados para contabilização de dados na revisão abrangem o território brasileiro e foram </w:t>
      </w:r>
      <w:r w:rsidR="00000000">
        <w:rPr>
          <w:rFonts w:ascii="Arial" w:eastAsia="Arial" w:hAnsi="Arial" w:cs="Arial"/>
          <w:sz w:val="22"/>
          <w:szCs w:val="22"/>
        </w:rPr>
        <w:t xml:space="preserve">publicados nos sites </w:t>
      </w:r>
      <w:proofErr w:type="spellStart"/>
      <w:r w:rsidR="00000000">
        <w:rPr>
          <w:rFonts w:ascii="Arial" w:eastAsia="Arial" w:hAnsi="Arial" w:cs="Arial"/>
          <w:i/>
          <w:sz w:val="22"/>
          <w:szCs w:val="22"/>
        </w:rPr>
        <w:t>Scientific</w:t>
      </w:r>
      <w:proofErr w:type="spellEnd"/>
      <w:r w:rsidR="00000000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i/>
          <w:sz w:val="22"/>
          <w:szCs w:val="22"/>
        </w:rPr>
        <w:t>Electronic</w:t>
      </w:r>
      <w:proofErr w:type="spellEnd"/>
      <w:r w:rsidR="00000000">
        <w:rPr>
          <w:rFonts w:ascii="Arial" w:eastAsia="Arial" w:hAnsi="Arial" w:cs="Arial"/>
          <w:i/>
          <w:sz w:val="22"/>
          <w:szCs w:val="22"/>
        </w:rPr>
        <w:t xml:space="preserve"> Library Online </w:t>
      </w:r>
      <w:r w:rsidR="00000000">
        <w:rPr>
          <w:rFonts w:ascii="Arial" w:eastAsia="Arial" w:hAnsi="Arial" w:cs="Arial"/>
          <w:sz w:val="22"/>
          <w:szCs w:val="22"/>
        </w:rPr>
        <w:t>(SciELO), Instituto Brasileiro de Informação em Ciência e Tecnologia (IBICT), Google Acadêmico e nas principais revistas da área. O banco de dados foi formado por trabalhos</w:t>
      </w:r>
      <w:r w:rsidR="00FF4CB8">
        <w:rPr>
          <w:rFonts w:ascii="Arial" w:eastAsia="Arial" w:hAnsi="Arial" w:cs="Arial"/>
          <w:sz w:val="22"/>
          <w:szCs w:val="22"/>
        </w:rPr>
        <w:t xml:space="preserve"> de domínio público</w:t>
      </w:r>
      <w:r w:rsidR="0074185C">
        <w:rPr>
          <w:rFonts w:ascii="Arial" w:eastAsia="Arial" w:hAnsi="Arial" w:cs="Arial"/>
          <w:sz w:val="22"/>
          <w:szCs w:val="22"/>
        </w:rPr>
        <w:t xml:space="preserve">, os quais incluem volumosos conservados e pastagens tropicais e temperadas, </w:t>
      </w:r>
      <w:r w:rsidR="00000000">
        <w:rPr>
          <w:rFonts w:ascii="Arial" w:eastAsia="Arial" w:hAnsi="Arial" w:cs="Arial"/>
          <w:sz w:val="22"/>
          <w:szCs w:val="22"/>
        </w:rPr>
        <w:t>desenvolvidos e publicados entre janeiro de 2000 e dezembro de 2015.  Foram contabilizados ao total de 169 experimentos, 670 tratamentos e envolvendo 5.457 vacas em lactação</w:t>
      </w:r>
      <w:r w:rsidR="0074185C">
        <w:rPr>
          <w:rFonts w:ascii="Arial" w:eastAsia="Arial" w:hAnsi="Arial" w:cs="Arial"/>
          <w:sz w:val="22"/>
          <w:szCs w:val="22"/>
        </w:rPr>
        <w:t>.</w:t>
      </w:r>
      <w:r w:rsidR="00D3344E">
        <w:rPr>
          <w:rFonts w:ascii="Arial" w:eastAsia="Arial" w:hAnsi="Arial" w:cs="Arial"/>
          <w:sz w:val="22"/>
          <w:szCs w:val="22"/>
        </w:rPr>
        <w:t xml:space="preserve"> </w:t>
      </w:r>
    </w:p>
    <w:p w14:paraId="60A19D43" w14:textId="77777777" w:rsidR="00827570" w:rsidRDefault="00827570">
      <w:pPr>
        <w:jc w:val="both"/>
        <w:rPr>
          <w:rFonts w:ascii="Arial" w:eastAsia="Arial" w:hAnsi="Arial" w:cs="Arial"/>
          <w:sz w:val="22"/>
          <w:szCs w:val="22"/>
        </w:rPr>
      </w:pPr>
    </w:p>
    <w:p w14:paraId="331AF067" w14:textId="58FD6C51" w:rsidR="0082757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Resultados e discussões: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digestibilidade média da matéria seca foi de 65,35% (Tabela 1), já a digestibilidade de FDN apresentou média de 48,31%. Isto mostra que, as dietas fornecidas para as vacas em lactação estavam com alta proporção de volumosos lignificados</w:t>
      </w:r>
      <w:r w:rsidR="005C3B5E">
        <w:rPr>
          <w:rFonts w:ascii="Arial" w:eastAsia="Arial" w:hAnsi="Arial" w:cs="Arial"/>
          <w:sz w:val="22"/>
          <w:szCs w:val="22"/>
        </w:rPr>
        <w:t xml:space="preserve"> (27,43%)</w:t>
      </w:r>
      <w:r w:rsidR="00D334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que devido a esta condição diminui, a digestibilidade da FDN (Hall, 2014). O consumo de nutrientes digestíveis totais </w:t>
      </w:r>
      <w:r w:rsidR="00575A03">
        <w:rPr>
          <w:rFonts w:ascii="Arial" w:eastAsia="Arial" w:hAnsi="Arial" w:cs="Arial"/>
          <w:sz w:val="22"/>
          <w:szCs w:val="22"/>
        </w:rPr>
        <w:t xml:space="preserve">é originado da digestibilidade das frações orgânicas, incluindo o FDN. </w:t>
      </w:r>
      <w:r>
        <w:rPr>
          <w:rFonts w:ascii="Arial" w:eastAsia="Arial" w:hAnsi="Arial" w:cs="Arial"/>
          <w:sz w:val="22"/>
          <w:szCs w:val="22"/>
        </w:rPr>
        <w:t>O consumo excessivo de FDN com baixa digestibilidade pode comprometer a quantidade e disponibilidade de nutrientes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 mantença e produção, ainda mais quando observamos os valores mínimos de digestibilidade de FDN (14,80%).</w:t>
      </w:r>
    </w:p>
    <w:p w14:paraId="2B8569D3" w14:textId="77777777" w:rsidR="0082757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Observa-se que a média da digestibilidade da proteína bruta das dietas estudadas está em média 69,16%. Depois da energia, a proteína é o nutriente mais requerido por ruminantes para desenvolvimento de suas funções metabólicas (Van </w:t>
      </w:r>
      <w:proofErr w:type="spellStart"/>
      <w:r>
        <w:rPr>
          <w:rFonts w:ascii="Arial" w:eastAsia="Arial" w:hAnsi="Arial" w:cs="Arial"/>
          <w:sz w:val="22"/>
          <w:szCs w:val="22"/>
        </w:rPr>
        <w:t>Soest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1994). Portanto, é essencial uma boa digestibilidade e </w:t>
      </w:r>
      <w:proofErr w:type="spellStart"/>
      <w:r>
        <w:rPr>
          <w:rFonts w:ascii="Arial" w:eastAsia="Arial" w:hAnsi="Arial" w:cs="Arial"/>
          <w:sz w:val="22"/>
          <w:szCs w:val="22"/>
        </w:rPr>
        <w:t>degradabilidade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ruminal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3839854A" w14:textId="77777777" w:rsidR="00827570" w:rsidRDefault="00827570">
      <w:pPr>
        <w:jc w:val="both"/>
        <w:rPr>
          <w:rFonts w:ascii="Arial" w:eastAsia="Arial" w:hAnsi="Arial" w:cs="Arial"/>
          <w:sz w:val="22"/>
          <w:szCs w:val="22"/>
        </w:rPr>
      </w:pPr>
    </w:p>
    <w:p w14:paraId="11BB4638" w14:textId="77777777" w:rsidR="00827570" w:rsidRDefault="00000000">
      <w:pPr>
        <w:jc w:val="both"/>
        <w:rPr>
          <w:i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Tabela 1. </w:t>
      </w:r>
      <w:r>
        <w:rPr>
          <w:rFonts w:ascii="Arial" w:eastAsia="Arial" w:hAnsi="Arial" w:cs="Arial"/>
          <w:b/>
          <w:sz w:val="20"/>
          <w:szCs w:val="20"/>
        </w:rPr>
        <w:t>Digestibilidade aparente dos nutrientes da dieta de vacas leiteiras em condições experimentais no Brasil</w:t>
      </w:r>
    </w:p>
    <w:tbl>
      <w:tblPr>
        <w:tblW w:w="9315" w:type="dxa"/>
        <w:jc w:val="center"/>
        <w:tblLayout w:type="fixed"/>
        <w:tblLook w:val="0400" w:firstRow="0" w:lastRow="0" w:firstColumn="0" w:lastColumn="0" w:noHBand="0" w:noVBand="1"/>
      </w:tblPr>
      <w:tblGrid>
        <w:gridCol w:w="4537"/>
        <w:gridCol w:w="850"/>
        <w:gridCol w:w="992"/>
        <w:gridCol w:w="992"/>
        <w:gridCol w:w="1134"/>
        <w:gridCol w:w="810"/>
      </w:tblGrid>
      <w:tr w:rsidR="00827570" w:rsidRPr="00592D42" w14:paraId="2CC6EFB6" w14:textId="77777777">
        <w:trPr>
          <w:jc w:val="center"/>
        </w:trPr>
        <w:tc>
          <w:tcPr>
            <w:tcW w:w="453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1A01E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 xml:space="preserve">Variáveis 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7FE88D90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78BD862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Mínimo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6AF8DFDF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Média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68B157A9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Máximo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767CCCBA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DP</w:t>
            </w:r>
          </w:p>
        </w:tc>
      </w:tr>
      <w:tr w:rsidR="00827570" w:rsidRPr="00592D42" w14:paraId="4842AE56" w14:textId="77777777">
        <w:trPr>
          <w:jc w:val="center"/>
        </w:trPr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14:paraId="66E6E192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da matéria seca (%)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426890AE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14:paraId="4083399B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44,50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14:paraId="0545B359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65,35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14:paraId="5DFE0E1C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85,23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</w:tcPr>
          <w:p w14:paraId="76702B86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6,16</w:t>
            </w:r>
          </w:p>
        </w:tc>
      </w:tr>
      <w:tr w:rsidR="00827570" w:rsidRPr="00592D42" w14:paraId="487870CA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4127006B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da matéria orgânica (%)</w:t>
            </w:r>
          </w:p>
        </w:tc>
        <w:tc>
          <w:tcPr>
            <w:tcW w:w="850" w:type="dxa"/>
            <w:shd w:val="clear" w:color="auto" w:fill="auto"/>
          </w:tcPr>
          <w:p w14:paraId="1047E749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354</w:t>
            </w:r>
          </w:p>
        </w:tc>
        <w:tc>
          <w:tcPr>
            <w:tcW w:w="992" w:type="dxa"/>
            <w:shd w:val="clear" w:color="auto" w:fill="auto"/>
          </w:tcPr>
          <w:p w14:paraId="318089E7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47,40</w:t>
            </w:r>
          </w:p>
        </w:tc>
        <w:tc>
          <w:tcPr>
            <w:tcW w:w="992" w:type="dxa"/>
            <w:shd w:val="clear" w:color="auto" w:fill="auto"/>
          </w:tcPr>
          <w:p w14:paraId="2B37271B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67,66</w:t>
            </w:r>
          </w:p>
        </w:tc>
        <w:tc>
          <w:tcPr>
            <w:tcW w:w="1134" w:type="dxa"/>
            <w:shd w:val="clear" w:color="auto" w:fill="auto"/>
          </w:tcPr>
          <w:p w14:paraId="7DE3F585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86,54</w:t>
            </w:r>
          </w:p>
        </w:tc>
        <w:tc>
          <w:tcPr>
            <w:tcW w:w="810" w:type="dxa"/>
            <w:shd w:val="clear" w:color="auto" w:fill="auto"/>
          </w:tcPr>
          <w:p w14:paraId="2D4EF0CB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5,85</w:t>
            </w:r>
          </w:p>
        </w:tc>
      </w:tr>
      <w:tr w:rsidR="00827570" w:rsidRPr="00592D42" w14:paraId="73764B85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4F8BD571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dos carboidratos totais (%)</w:t>
            </w:r>
          </w:p>
        </w:tc>
        <w:tc>
          <w:tcPr>
            <w:tcW w:w="850" w:type="dxa"/>
            <w:shd w:val="clear" w:color="auto" w:fill="auto"/>
          </w:tcPr>
          <w:p w14:paraId="428824A5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214</w:t>
            </w:r>
          </w:p>
        </w:tc>
        <w:tc>
          <w:tcPr>
            <w:tcW w:w="992" w:type="dxa"/>
            <w:shd w:val="clear" w:color="auto" w:fill="auto"/>
          </w:tcPr>
          <w:p w14:paraId="7BF2AA8D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44,70</w:t>
            </w:r>
          </w:p>
        </w:tc>
        <w:tc>
          <w:tcPr>
            <w:tcW w:w="992" w:type="dxa"/>
            <w:shd w:val="clear" w:color="auto" w:fill="auto"/>
          </w:tcPr>
          <w:p w14:paraId="2785D08B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67,37</w:t>
            </w:r>
          </w:p>
        </w:tc>
        <w:tc>
          <w:tcPr>
            <w:tcW w:w="1134" w:type="dxa"/>
            <w:shd w:val="clear" w:color="auto" w:fill="auto"/>
          </w:tcPr>
          <w:p w14:paraId="539E3EEF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89,20</w:t>
            </w:r>
          </w:p>
        </w:tc>
        <w:tc>
          <w:tcPr>
            <w:tcW w:w="810" w:type="dxa"/>
            <w:shd w:val="clear" w:color="auto" w:fill="auto"/>
          </w:tcPr>
          <w:p w14:paraId="78E139E0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7,35</w:t>
            </w:r>
          </w:p>
        </w:tc>
      </w:tr>
      <w:tr w:rsidR="00827570" w:rsidRPr="00592D42" w14:paraId="6DF13B88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1C3C24FB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dos carboidratos não fibrosos (%)</w:t>
            </w:r>
          </w:p>
        </w:tc>
        <w:tc>
          <w:tcPr>
            <w:tcW w:w="850" w:type="dxa"/>
            <w:shd w:val="clear" w:color="auto" w:fill="auto"/>
          </w:tcPr>
          <w:p w14:paraId="4A6367CE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14:paraId="629233A2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53,77</w:t>
            </w:r>
          </w:p>
        </w:tc>
        <w:tc>
          <w:tcPr>
            <w:tcW w:w="992" w:type="dxa"/>
            <w:shd w:val="clear" w:color="auto" w:fill="auto"/>
          </w:tcPr>
          <w:p w14:paraId="1DD3B9FA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83,37</w:t>
            </w:r>
          </w:p>
        </w:tc>
        <w:tc>
          <w:tcPr>
            <w:tcW w:w="1134" w:type="dxa"/>
            <w:shd w:val="clear" w:color="auto" w:fill="auto"/>
          </w:tcPr>
          <w:p w14:paraId="5E92636A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810" w:type="dxa"/>
            <w:shd w:val="clear" w:color="auto" w:fill="auto"/>
          </w:tcPr>
          <w:p w14:paraId="30FCD12B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9,27</w:t>
            </w:r>
          </w:p>
        </w:tc>
      </w:tr>
      <w:tr w:rsidR="00827570" w:rsidRPr="00592D42" w14:paraId="3E0F2DD7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5A85B33C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da fibra em detergente neutro (%)</w:t>
            </w:r>
          </w:p>
        </w:tc>
        <w:tc>
          <w:tcPr>
            <w:tcW w:w="850" w:type="dxa"/>
            <w:shd w:val="clear" w:color="auto" w:fill="auto"/>
          </w:tcPr>
          <w:p w14:paraId="5639F51D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992" w:type="dxa"/>
            <w:shd w:val="clear" w:color="auto" w:fill="auto"/>
          </w:tcPr>
          <w:p w14:paraId="087D3E18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14,80</w:t>
            </w:r>
          </w:p>
        </w:tc>
        <w:tc>
          <w:tcPr>
            <w:tcW w:w="992" w:type="dxa"/>
            <w:shd w:val="clear" w:color="auto" w:fill="auto"/>
          </w:tcPr>
          <w:p w14:paraId="47C3C90E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48,31</w:t>
            </w:r>
          </w:p>
        </w:tc>
        <w:tc>
          <w:tcPr>
            <w:tcW w:w="1134" w:type="dxa"/>
            <w:shd w:val="clear" w:color="auto" w:fill="auto"/>
          </w:tcPr>
          <w:p w14:paraId="3D04E99D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80,54</w:t>
            </w:r>
          </w:p>
        </w:tc>
        <w:tc>
          <w:tcPr>
            <w:tcW w:w="810" w:type="dxa"/>
            <w:shd w:val="clear" w:color="auto" w:fill="auto"/>
          </w:tcPr>
          <w:p w14:paraId="0083097A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11,20</w:t>
            </w:r>
          </w:p>
        </w:tc>
      </w:tr>
      <w:tr w:rsidR="00827570" w:rsidRPr="00592D42" w14:paraId="4ECF8948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675E6480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da fibra em detergente ácido (%)</w:t>
            </w:r>
          </w:p>
        </w:tc>
        <w:tc>
          <w:tcPr>
            <w:tcW w:w="850" w:type="dxa"/>
            <w:shd w:val="clear" w:color="auto" w:fill="auto"/>
          </w:tcPr>
          <w:p w14:paraId="2B426E2C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2E896880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20,80</w:t>
            </w:r>
          </w:p>
        </w:tc>
        <w:tc>
          <w:tcPr>
            <w:tcW w:w="992" w:type="dxa"/>
            <w:shd w:val="clear" w:color="auto" w:fill="auto"/>
          </w:tcPr>
          <w:p w14:paraId="687ABA28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47,14</w:t>
            </w:r>
          </w:p>
        </w:tc>
        <w:tc>
          <w:tcPr>
            <w:tcW w:w="1134" w:type="dxa"/>
            <w:shd w:val="clear" w:color="auto" w:fill="auto"/>
          </w:tcPr>
          <w:p w14:paraId="4744918F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78,17</w:t>
            </w:r>
          </w:p>
        </w:tc>
        <w:tc>
          <w:tcPr>
            <w:tcW w:w="810" w:type="dxa"/>
            <w:shd w:val="clear" w:color="auto" w:fill="auto"/>
          </w:tcPr>
          <w:p w14:paraId="2C90EC8C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14,46</w:t>
            </w:r>
          </w:p>
        </w:tc>
      </w:tr>
      <w:tr w:rsidR="00827570" w:rsidRPr="00592D42" w14:paraId="5C0E69B3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0AD26182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da proteína bruta (%)</w:t>
            </w:r>
          </w:p>
        </w:tc>
        <w:tc>
          <w:tcPr>
            <w:tcW w:w="850" w:type="dxa"/>
            <w:shd w:val="clear" w:color="auto" w:fill="auto"/>
          </w:tcPr>
          <w:p w14:paraId="43F35D3E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354</w:t>
            </w:r>
          </w:p>
        </w:tc>
        <w:tc>
          <w:tcPr>
            <w:tcW w:w="992" w:type="dxa"/>
            <w:shd w:val="clear" w:color="auto" w:fill="auto"/>
          </w:tcPr>
          <w:p w14:paraId="6A4CE305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43,10</w:t>
            </w:r>
          </w:p>
        </w:tc>
        <w:tc>
          <w:tcPr>
            <w:tcW w:w="992" w:type="dxa"/>
            <w:shd w:val="clear" w:color="auto" w:fill="auto"/>
          </w:tcPr>
          <w:p w14:paraId="22AE2C4E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69,16</w:t>
            </w:r>
          </w:p>
        </w:tc>
        <w:tc>
          <w:tcPr>
            <w:tcW w:w="1134" w:type="dxa"/>
            <w:shd w:val="clear" w:color="auto" w:fill="auto"/>
          </w:tcPr>
          <w:p w14:paraId="0EE67EFC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98,23</w:t>
            </w:r>
          </w:p>
        </w:tc>
        <w:tc>
          <w:tcPr>
            <w:tcW w:w="810" w:type="dxa"/>
            <w:shd w:val="clear" w:color="auto" w:fill="auto"/>
          </w:tcPr>
          <w:p w14:paraId="3BA24A6F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8,11</w:t>
            </w:r>
          </w:p>
        </w:tc>
      </w:tr>
      <w:tr w:rsidR="00827570" w:rsidRPr="00592D42" w14:paraId="3AE14CE6" w14:textId="77777777">
        <w:trPr>
          <w:jc w:val="center"/>
        </w:trPr>
        <w:tc>
          <w:tcPr>
            <w:tcW w:w="4536" w:type="dxa"/>
            <w:tcBorders>
              <w:bottom w:val="single" w:sz="12" w:space="0" w:color="000000"/>
            </w:tcBorders>
            <w:shd w:val="clear" w:color="auto" w:fill="auto"/>
          </w:tcPr>
          <w:p w14:paraId="2FF9EF04" w14:textId="77777777" w:rsidR="00827570" w:rsidRPr="00592D42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Digestibilidade do extrato etéreo (%)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</w:tcPr>
          <w:p w14:paraId="22533104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303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14:paraId="6C8C21A5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13,39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14:paraId="56F3A3D0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73,69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5BE0398E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94,39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shd w:val="clear" w:color="auto" w:fill="auto"/>
          </w:tcPr>
          <w:p w14:paraId="440CD201" w14:textId="77777777" w:rsidR="00827570" w:rsidRPr="00592D42" w:rsidRDefault="0000000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2D42">
              <w:rPr>
                <w:rFonts w:ascii="Arial" w:hAnsi="Arial" w:cs="Arial"/>
                <w:sz w:val="22"/>
                <w:szCs w:val="22"/>
              </w:rPr>
              <w:t>14,26</w:t>
            </w:r>
          </w:p>
        </w:tc>
      </w:tr>
    </w:tbl>
    <w:p w14:paraId="704FF9E7" w14:textId="1446F27B" w:rsidR="00827570" w:rsidRDefault="00827570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44331AA6" w14:textId="77777777" w:rsidR="00575A03" w:rsidRDefault="00575A03">
      <w:pPr>
        <w:widowControl w:val="0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73317C4" w14:textId="6AF1400D" w:rsidR="00827570" w:rsidRDefault="00000000">
      <w:pPr>
        <w:widowControl w:val="0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digestibilidade de extrato etéreo está em média 73,69% (Tabela 1), portanto temos que levar em consideração as fontes de gordura fornecidas além do equilíbrio nutricional dos outros componentes da dieta para não influenciar a digestibilidade deles. No geral, uma digestibilidade de extrato etéreo que varia de 60% a 70% é considerada adequada para vacas em lactação (Huntington, 1997). As vacas em lactação têm necessidades energéticas elevadas devido à produção de leite. Os carboidratos não fibrosos (CNF), que incluem açúcares e amidos, são uma fonte importante de energia na dieta das vacas em lactação. Uma alta digestibilidade dos CNF (83,37%) como observado na Tabela 1 é altamente desejável para fornecer a energia necessária para manter a produção de leite e o estado corporal adequado das vacas.</w:t>
      </w:r>
    </w:p>
    <w:p w14:paraId="0E2395FE" w14:textId="77777777" w:rsidR="00827570" w:rsidRDefault="00000000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Portanto, uma vez que a digestibilidade dos nutrientes pode afetar a produção e </w:t>
      </w:r>
    </w:p>
    <w:p w14:paraId="063DF84F" w14:textId="77B71F82" w:rsidR="00827570" w:rsidRDefault="00000000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composição de leite das vacas em lactação, observa-se que apesar de termos digestibilidades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aceitáveis há uma variação grande e falta de controle no equilíbrio nutricional pois, </w:t>
      </w: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4" behindDoc="1" locked="0" layoutInCell="0" allowOverlap="1" wp14:anchorId="11484AE6" wp14:editId="1D6E1400">
            <wp:simplePos x="0" y="0"/>
            <wp:positionH relativeFrom="page">
              <wp:align>right</wp:align>
            </wp:positionH>
            <wp:positionV relativeFrom="topMargin">
              <wp:posOffset>-167005</wp:posOffset>
            </wp:positionV>
            <wp:extent cx="7556500" cy="1115060"/>
            <wp:effectExtent l="0" t="0" r="0" b="0"/>
            <wp:wrapNone/>
            <wp:docPr id="3" name="Figura2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observamos valores altos de digestibilidade e ao mesmo tempo valores que estão fora dos </w:t>
      </w:r>
      <w:r>
        <w:rPr>
          <w:noProof/>
        </w:rPr>
        <w:drawing>
          <wp:anchor distT="0" distB="0" distL="0" distR="0" simplePos="0" relativeHeight="5" behindDoc="1" locked="0" layoutInCell="0" allowOverlap="1" wp14:anchorId="2302118E" wp14:editId="216827FD">
            <wp:simplePos x="0" y="0"/>
            <wp:positionH relativeFrom="margin">
              <wp:align>center</wp:align>
            </wp:positionH>
            <wp:positionV relativeFrom="topMargin">
              <wp:posOffset>-162560</wp:posOffset>
            </wp:positionV>
            <wp:extent cx="7556500" cy="1115060"/>
            <wp:effectExtent l="0" t="0" r="0" b="0"/>
            <wp:wrapNone/>
            <wp:docPr id="4" name="Imagem 2132665910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132665910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padrões. É importante ressaltar a análise da qualidade dos alimentos fornecidos às vacas em lactação em condições experimentais no Brasil para que </w:t>
      </w:r>
      <w:r w:rsidR="00575A03">
        <w:rPr>
          <w:rFonts w:ascii="Arial" w:eastAsia="Arial" w:hAnsi="Arial" w:cs="Arial"/>
          <w:sz w:val="22"/>
          <w:szCs w:val="22"/>
        </w:rPr>
        <w:t>não</w:t>
      </w:r>
      <w:r>
        <w:rPr>
          <w:rFonts w:ascii="Arial" w:eastAsia="Arial" w:hAnsi="Arial" w:cs="Arial"/>
          <w:sz w:val="22"/>
          <w:szCs w:val="22"/>
        </w:rPr>
        <w:t xml:space="preserve"> acorram oscilações e possamos atender as demandas nutricionais igualmente para cada nutriente. </w:t>
      </w:r>
    </w:p>
    <w:p w14:paraId="126BA9AC" w14:textId="77777777" w:rsidR="00827570" w:rsidRDefault="00000000">
      <w:pPr>
        <w:jc w:val="both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</w:t>
      </w:r>
    </w:p>
    <w:p w14:paraId="4758DD16" w14:textId="4D38268E" w:rsidR="00827570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Conclui-se que </w:t>
      </w:r>
      <w:r w:rsidR="005C3B5E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sz w:val="22"/>
          <w:szCs w:val="22"/>
        </w:rPr>
        <w:t>digestibilidade pode ser influenciada pelo tipo de alimento fornecido, incluindo sua qualidade e composição da dieta, ou seja, proporção de volumosos e concentrados</w:t>
      </w:r>
      <w:r w:rsidR="005C3B5E">
        <w:rPr>
          <w:rFonts w:ascii="Arial" w:eastAsia="Arial" w:hAnsi="Arial" w:cs="Arial"/>
          <w:sz w:val="22"/>
          <w:szCs w:val="22"/>
        </w:rPr>
        <w:t xml:space="preserve"> podendo afetar diretamente na produção e composição do leite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7913BD2B" w14:textId="77777777" w:rsidR="005C3B5E" w:rsidRDefault="005C3B5E">
      <w:pPr>
        <w:jc w:val="both"/>
        <w:rPr>
          <w:rFonts w:ascii="Arial" w:eastAsia="Arial" w:hAnsi="Arial" w:cs="Arial"/>
          <w:sz w:val="22"/>
          <w:szCs w:val="22"/>
        </w:rPr>
      </w:pPr>
    </w:p>
    <w:p w14:paraId="59E0E2C1" w14:textId="7E2C0048" w:rsidR="00827570" w:rsidRDefault="0000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Agradecimento: FIPE-UFSM</w:t>
      </w:r>
    </w:p>
    <w:p w14:paraId="2367F156" w14:textId="77777777" w:rsidR="00827570" w:rsidRDefault="0082757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5A2474F" w14:textId="77777777" w:rsidR="00827570" w:rsidRDefault="0000000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Referências: </w:t>
      </w:r>
    </w:p>
    <w:p w14:paraId="1D967E17" w14:textId="77777777" w:rsidR="00827570" w:rsidRDefault="00000000">
      <w:pPr>
        <w:jc w:val="both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ADISA, V.A. Surface </w:t>
      </w:r>
      <w:proofErr w:type="spellStart"/>
      <w:r>
        <w:rPr>
          <w:rFonts w:ascii="Arial" w:eastAsia="Arial" w:hAnsi="Arial" w:cs="Arial"/>
          <w:sz w:val="22"/>
          <w:szCs w:val="22"/>
        </w:rPr>
        <w:t>Mycoflora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Manihot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esculenta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M.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utilissima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tubers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 Nigeria. Indian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Phytopathology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Nova Déli, v.36, p.533-538, 1983</w:t>
      </w:r>
    </w:p>
    <w:p w14:paraId="316FEA69" w14:textId="77777777" w:rsidR="00827570" w:rsidRDefault="00827570">
      <w:pPr>
        <w:widowControl w:val="0"/>
        <w:rPr>
          <w:color w:val="FF0000"/>
          <w:sz w:val="22"/>
          <w:szCs w:val="22"/>
        </w:rPr>
      </w:pPr>
    </w:p>
    <w:p w14:paraId="0EDE01B5" w14:textId="77777777" w:rsidR="0074185C" w:rsidRDefault="0074185C" w:rsidP="0074185C">
      <w:pPr>
        <w:pStyle w:val="LO-normal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ALESSIO, DILETA REGINA MORO; Lages, S. C. Produção e composição do leite em </w:t>
      </w:r>
    </w:p>
    <w:p w14:paraId="75F42CC8" w14:textId="77777777" w:rsidR="0074185C" w:rsidRDefault="0074185C" w:rsidP="0074185C">
      <w:pPr>
        <w:pStyle w:val="LO-normal"/>
        <w:widowControl w:val="0"/>
        <w:ind w:right="29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função da alimentação de vacas em condições experimentais no Brasil. 2017. Tese de </w:t>
      </w:r>
    </w:p>
    <w:p w14:paraId="3366DF0E" w14:textId="77777777" w:rsidR="0074185C" w:rsidRDefault="0074185C" w:rsidP="0074185C">
      <w:pPr>
        <w:pStyle w:val="LO-normal"/>
        <w:widowControl w:val="0"/>
        <w:ind w:right="29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Doutorado. </w:t>
      </w:r>
      <w:proofErr w:type="spellStart"/>
      <w:r>
        <w:rPr>
          <w:rFonts w:ascii="Arial" w:eastAsia="Arial" w:hAnsi="Arial"/>
          <w:sz w:val="22"/>
          <w:szCs w:val="22"/>
        </w:rPr>
        <w:t>unpublished</w:t>
      </w:r>
      <w:proofErr w:type="spellEnd"/>
      <w:r>
        <w:rPr>
          <w:rFonts w:ascii="Arial" w:eastAsia="Arial" w:hAnsi="Arial"/>
          <w:sz w:val="22"/>
          <w:szCs w:val="22"/>
        </w:rPr>
        <w:t xml:space="preserve"> PhD </w:t>
      </w:r>
      <w:proofErr w:type="spellStart"/>
      <w:r>
        <w:rPr>
          <w:rFonts w:ascii="Arial" w:eastAsia="Arial" w:hAnsi="Arial"/>
          <w:sz w:val="22"/>
          <w:szCs w:val="22"/>
        </w:rPr>
        <w:t>thesis</w:t>
      </w:r>
      <w:proofErr w:type="spellEnd"/>
      <w:r>
        <w:rPr>
          <w:rFonts w:ascii="Arial" w:eastAsia="Arial" w:hAnsi="Arial"/>
          <w:sz w:val="22"/>
          <w:szCs w:val="22"/>
        </w:rPr>
        <w:t>, Universidade do Estado de Santa Catarina.</w:t>
      </w:r>
    </w:p>
    <w:p w14:paraId="3E243A51" w14:textId="77777777" w:rsidR="0074185C" w:rsidRDefault="0074185C">
      <w:pPr>
        <w:widowControl w:val="0"/>
        <w:rPr>
          <w:color w:val="FF0000"/>
          <w:sz w:val="22"/>
          <w:szCs w:val="22"/>
        </w:rPr>
      </w:pPr>
    </w:p>
    <w:p w14:paraId="2D807E82" w14:textId="77777777" w:rsidR="00827570" w:rsidRDefault="00000000">
      <w:pPr>
        <w:widowControl w:val="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</w:rPr>
        <w:t xml:space="preserve">GOES, R. H. D. T., SILVA, L. H. X. D., SOUZA, K. A. D. Alimentos e alimentação animal. </w:t>
      </w:r>
      <w:proofErr w:type="spellStart"/>
      <w:r>
        <w:rPr>
          <w:rFonts w:ascii="Arial" w:eastAsia="Arial" w:hAnsi="Arial" w:cs="Arial"/>
          <w:sz w:val="22"/>
          <w:szCs w:val="22"/>
          <w:lang w:val="en-US"/>
        </w:rPr>
        <w:t>Coleção</w:t>
      </w:r>
      <w:proofErr w:type="spellEnd"/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n-US"/>
        </w:rPr>
        <w:t>Cadernos</w:t>
      </w:r>
      <w:proofErr w:type="spellEnd"/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n-US"/>
        </w:rPr>
        <w:t>Acadêmicos</w:t>
      </w:r>
      <w:proofErr w:type="spellEnd"/>
      <w:r>
        <w:rPr>
          <w:rFonts w:ascii="Arial" w:eastAsia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  <w:lang w:val="en-US"/>
        </w:rPr>
        <w:t>Dourados</w:t>
      </w:r>
      <w:proofErr w:type="spellEnd"/>
      <w:r>
        <w:rPr>
          <w:rFonts w:ascii="Arial" w:eastAsia="Arial" w:hAnsi="Arial" w:cs="Arial"/>
          <w:sz w:val="22"/>
          <w:szCs w:val="22"/>
          <w:lang w:val="en-US"/>
        </w:rPr>
        <w:t>-MS. v.1 80p. 2013.</w:t>
      </w:r>
    </w:p>
    <w:p w14:paraId="35821C31" w14:textId="77777777" w:rsidR="00827570" w:rsidRDefault="00827570">
      <w:pPr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5B804AE8" w14:textId="77777777" w:rsidR="00827570" w:rsidRDefault="00000000">
      <w:pP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HALL, M. B. Feed analyses and their interpretation. Veterinary Clinics of North America -</w:t>
      </w:r>
    </w:p>
    <w:p w14:paraId="63C68E94" w14:textId="77777777" w:rsidR="00827570" w:rsidRDefault="00000000">
      <w:pP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Food Animal Practice, v. 30, p. 487-505, 2014.</w:t>
      </w:r>
    </w:p>
    <w:p w14:paraId="5358BDF9" w14:textId="77777777" w:rsidR="00827570" w:rsidRDefault="00827570">
      <w:pPr>
        <w:rPr>
          <w:rFonts w:ascii="Arial" w:eastAsia="Arial" w:hAnsi="Arial" w:cs="Arial"/>
          <w:sz w:val="22"/>
          <w:szCs w:val="22"/>
          <w:lang w:val="en-US"/>
        </w:rPr>
      </w:pPr>
    </w:p>
    <w:p w14:paraId="0E7CDD1D" w14:textId="77777777" w:rsidR="00827570" w:rsidRDefault="00000000">
      <w:pP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HUNTINGTON, G. B. (1997). Starch utilization by ruminants: from basics to the bunk. Journal of animal science, 75(3), 852-867.</w:t>
      </w:r>
    </w:p>
    <w:p w14:paraId="673B6B56" w14:textId="77777777" w:rsidR="00827570" w:rsidRDefault="00827570">
      <w:pPr>
        <w:rPr>
          <w:rFonts w:ascii="Roboto" w:eastAsia="Roboto" w:hAnsi="Roboto" w:cs="Roboto"/>
          <w:color w:val="374151"/>
          <w:shd w:val="clear" w:color="auto" w:fill="F7F7F8"/>
          <w:lang w:val="en-US"/>
        </w:rPr>
      </w:pPr>
    </w:p>
    <w:p w14:paraId="6D91BF38" w14:textId="77777777" w:rsidR="00827570" w:rsidRDefault="00000000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NRC, I. Nutrient requirements of dairy cattle. </w:t>
      </w:r>
      <w:proofErr w:type="spellStart"/>
      <w:r>
        <w:rPr>
          <w:rFonts w:ascii="Arial" w:eastAsia="Arial" w:hAnsi="Arial" w:cs="Arial"/>
          <w:sz w:val="22"/>
          <w:szCs w:val="22"/>
        </w:rPr>
        <w:t>National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Research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Council</w:t>
      </w:r>
      <w:proofErr w:type="spellEnd"/>
      <w:r>
        <w:rPr>
          <w:rFonts w:ascii="Arial" w:eastAsia="Arial" w:hAnsi="Arial" w:cs="Arial"/>
          <w:sz w:val="22"/>
          <w:szCs w:val="22"/>
        </w:rPr>
        <w:t>. 2001.</w:t>
      </w:r>
    </w:p>
    <w:p w14:paraId="0B61C6A7" w14:textId="77777777" w:rsidR="00827570" w:rsidRDefault="00827570">
      <w:pPr>
        <w:widowControl w:val="0"/>
        <w:rPr>
          <w:rFonts w:ascii="Arial" w:eastAsia="Arial" w:hAnsi="Arial" w:cs="Arial"/>
          <w:sz w:val="22"/>
          <w:szCs w:val="22"/>
        </w:rPr>
      </w:pPr>
    </w:p>
    <w:p w14:paraId="410E9929" w14:textId="2491E9EE" w:rsidR="00827570" w:rsidRDefault="00000000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ONU - Organização das Nações Unidas. Declaração Universal dos Direitos Humanos da ONU. Disponível </w:t>
      </w:r>
      <w:r w:rsidR="0074185C">
        <w:rPr>
          <w:rFonts w:ascii="Arial" w:eastAsia="Arial" w:hAnsi="Arial" w:cs="Arial"/>
          <w:sz w:val="22"/>
          <w:szCs w:val="22"/>
        </w:rPr>
        <w:t>em</w:t>
      </w:r>
      <w:proofErr w:type="gramStart"/>
      <w:r w:rsidR="0074185C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&lt;https://brasil.un.org/pt-br/83427-popula%C3%A7%C3%A3o-mundial-deve-chegar-97-bilh%C3%B5es-de-pessoas-em-2050-diz-relat%C3%B3rio-da-onu&gt;.</w:t>
      </w:r>
    </w:p>
    <w:p w14:paraId="68167EFA" w14:textId="77777777" w:rsidR="00827570" w:rsidRDefault="00827570">
      <w:pPr>
        <w:ind w:right="284"/>
        <w:jc w:val="both"/>
        <w:rPr>
          <w:rFonts w:ascii="Arial" w:eastAsia="Arial" w:hAnsi="Arial" w:cs="Arial"/>
          <w:sz w:val="22"/>
          <w:szCs w:val="22"/>
        </w:rPr>
      </w:pPr>
    </w:p>
    <w:p w14:paraId="421228CB" w14:textId="77777777" w:rsidR="00827570" w:rsidRDefault="00000000">
      <w:pPr>
        <w:pStyle w:val="Ttulo1"/>
        <w:keepNext w:val="0"/>
        <w:keepLines w:val="0"/>
        <w:widowControl w:val="0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bookmarkStart w:id="1" w:name="_gj3knww2yv6a"/>
      <w:bookmarkEnd w:id="1"/>
      <w:r>
        <w:rPr>
          <w:rFonts w:ascii="Arial" w:eastAsia="Arial" w:hAnsi="Arial" w:cs="Arial"/>
          <w:b w:val="0"/>
          <w:sz w:val="22"/>
          <w:szCs w:val="22"/>
          <w:lang w:val="en-US"/>
        </w:rPr>
        <w:t xml:space="preserve">VAN SOEST, P.J. Nutritional ecology of the ruminant.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Ithaca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: Cornell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University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>, 1994. 476 p.</w:t>
      </w:r>
    </w:p>
    <w:sectPr w:rsidR="00827570">
      <w:headerReference w:type="default" r:id="rId7"/>
      <w:foot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7AB1" w14:textId="77777777" w:rsidR="00C45168" w:rsidRDefault="00C45168">
      <w:r>
        <w:separator/>
      </w:r>
    </w:p>
  </w:endnote>
  <w:endnote w:type="continuationSeparator" w:id="0">
    <w:p w14:paraId="699E2D5D" w14:textId="77777777" w:rsidR="00C45168" w:rsidRDefault="00C4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3C58" w14:textId="77777777" w:rsidR="00827570" w:rsidRDefault="00827570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C03F" w14:textId="77777777" w:rsidR="00C45168" w:rsidRDefault="00C45168">
      <w:r>
        <w:separator/>
      </w:r>
    </w:p>
  </w:footnote>
  <w:footnote w:type="continuationSeparator" w:id="0">
    <w:p w14:paraId="2F031608" w14:textId="77777777" w:rsidR="00C45168" w:rsidRDefault="00C4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9804" w14:textId="77777777" w:rsidR="00827570" w:rsidRDefault="00827570">
    <w:pPr>
      <w:rPr>
        <w:rFonts w:ascii="Cambria" w:eastAsia="Cambria" w:hAnsi="Cambria" w:cs="Cambria"/>
        <w:color w:val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70"/>
    <w:rsid w:val="003E44CF"/>
    <w:rsid w:val="004559F0"/>
    <w:rsid w:val="00575A03"/>
    <w:rsid w:val="00592D42"/>
    <w:rsid w:val="005C3B5E"/>
    <w:rsid w:val="0074185C"/>
    <w:rsid w:val="00827570"/>
    <w:rsid w:val="00C45168"/>
    <w:rsid w:val="00D3344E"/>
    <w:rsid w:val="00E358A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134C"/>
  <w15:docId w15:val="{F31C1432-C34D-4B87-AFA0-C2CD520C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7899"/>
  </w:style>
  <w:style w:type="character" w:customStyle="1" w:styleId="RodapChar">
    <w:name w:val="Rodapé Char"/>
    <w:basedOn w:val="Fontepargpadro"/>
    <w:link w:val="Rodap"/>
    <w:uiPriority w:val="99"/>
    <w:qFormat/>
    <w:rsid w:val="00B97899"/>
  </w:style>
  <w:style w:type="character" w:styleId="Forte">
    <w:name w:val="Strong"/>
    <w:basedOn w:val="Fontepargpadro"/>
    <w:uiPriority w:val="22"/>
    <w:qFormat/>
    <w:rsid w:val="006E5D02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E5D0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C2CD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9C2CD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C2CD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978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978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E5D02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C2C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C2CD9"/>
    <w:rPr>
      <w:b/>
      <w:bCs/>
    </w:rPr>
  </w:style>
  <w:style w:type="paragraph" w:styleId="Reviso">
    <w:name w:val="Revision"/>
    <w:uiPriority w:val="99"/>
    <w:semiHidden/>
    <w:qFormat/>
    <w:rsid w:val="000E7488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74185C"/>
    <w:rPr>
      <w:rFonts w:eastAsia="NSimSu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analuiza goncalves</cp:lastModifiedBy>
  <cp:revision>2</cp:revision>
  <dcterms:created xsi:type="dcterms:W3CDTF">2023-10-27T12:14:00Z</dcterms:created>
  <dcterms:modified xsi:type="dcterms:W3CDTF">2023-10-27T12:14:00Z</dcterms:modified>
  <dc:language>pt-BR</dc:language>
</cp:coreProperties>
</file>