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A5" w:rsidRPr="001F1568" w:rsidRDefault="00564934" w:rsidP="00AB4D56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bookmarkStart w:id="0" w:name="_GoBack"/>
      <w:r w:rsidRPr="001F1568">
        <w:rPr>
          <w:rFonts w:ascii="Arial" w:hAnsi="Arial" w:cs="Arial"/>
          <w:b/>
          <w:sz w:val="28"/>
          <w:szCs w:val="28"/>
          <w:lang w:val="pt-BR"/>
        </w:rPr>
        <w:t xml:space="preserve">PRODUÇÃO DE FORRAGEM DE TIFTON 85 COM </w:t>
      </w:r>
      <w:proofErr w:type="spellStart"/>
      <w:r w:rsidRPr="001F1568">
        <w:rPr>
          <w:rFonts w:ascii="Arial" w:hAnsi="Arial" w:cs="Arial"/>
          <w:i/>
          <w:iCs/>
          <w:sz w:val="28"/>
          <w:szCs w:val="28"/>
          <w:lang w:val="pt-BR"/>
        </w:rPr>
        <w:t>Azospirillum</w:t>
      </w:r>
      <w:proofErr w:type="spellEnd"/>
      <w:r w:rsidRPr="001F1568">
        <w:rPr>
          <w:rFonts w:ascii="Arial" w:hAnsi="Arial" w:cs="Arial"/>
          <w:i/>
          <w:iCs/>
          <w:sz w:val="28"/>
          <w:szCs w:val="28"/>
          <w:lang w:val="pt-BR"/>
        </w:rPr>
        <w:t xml:space="preserve"> brasilense</w:t>
      </w:r>
      <w:r w:rsidRPr="001F1568">
        <w:rPr>
          <w:rFonts w:ascii="Arial" w:hAnsi="Arial" w:cs="Arial"/>
          <w:iCs/>
          <w:sz w:val="28"/>
          <w:szCs w:val="28"/>
          <w:lang w:val="pt-BR"/>
        </w:rPr>
        <w:t xml:space="preserve"> </w:t>
      </w:r>
      <w:r w:rsidRPr="001F1568">
        <w:rPr>
          <w:rFonts w:ascii="Arial" w:hAnsi="Arial" w:cs="Arial"/>
          <w:b/>
          <w:iCs/>
          <w:sz w:val="28"/>
          <w:szCs w:val="28"/>
          <w:lang w:val="pt-BR"/>
        </w:rPr>
        <w:t>e</w:t>
      </w:r>
      <w:r w:rsidRPr="001F1568">
        <w:rPr>
          <w:rFonts w:ascii="Arial" w:hAnsi="Arial" w:cs="Arial"/>
          <w:i/>
          <w:iCs/>
          <w:sz w:val="28"/>
          <w:szCs w:val="28"/>
          <w:lang w:val="pt-BR"/>
        </w:rPr>
        <w:t xml:space="preserve"> </w:t>
      </w:r>
      <w:proofErr w:type="spellStart"/>
      <w:r w:rsidRPr="001F1568">
        <w:rPr>
          <w:rFonts w:ascii="Arial" w:hAnsi="Arial" w:cs="Arial"/>
          <w:i/>
          <w:iCs/>
          <w:sz w:val="28"/>
          <w:szCs w:val="28"/>
          <w:lang w:val="pt-BR"/>
        </w:rPr>
        <w:t>Pseudomonas</w:t>
      </w:r>
      <w:proofErr w:type="spellEnd"/>
      <w:r w:rsidRPr="001F1568">
        <w:rPr>
          <w:rFonts w:ascii="Arial" w:hAnsi="Arial" w:cs="Arial"/>
          <w:i/>
          <w:iCs/>
          <w:sz w:val="28"/>
          <w:szCs w:val="28"/>
          <w:lang w:val="pt-BR"/>
        </w:rPr>
        <w:t xml:space="preserve"> </w:t>
      </w:r>
      <w:proofErr w:type="spellStart"/>
      <w:r w:rsidRPr="001F1568">
        <w:rPr>
          <w:rFonts w:ascii="Arial" w:hAnsi="Arial" w:cs="Arial"/>
          <w:i/>
          <w:iCs/>
          <w:sz w:val="28"/>
          <w:szCs w:val="28"/>
          <w:lang w:val="pt-BR"/>
        </w:rPr>
        <w:t>fluorescens</w:t>
      </w:r>
      <w:proofErr w:type="spellEnd"/>
      <w:r w:rsidRPr="001F1568">
        <w:rPr>
          <w:rFonts w:ascii="Arial" w:hAnsi="Arial" w:cs="Arial"/>
          <w:sz w:val="28"/>
          <w:szCs w:val="28"/>
          <w:lang w:val="pt-BR"/>
        </w:rPr>
        <w:t xml:space="preserve"> </w:t>
      </w:r>
      <w:r w:rsidRPr="001F1568">
        <w:rPr>
          <w:rFonts w:ascii="Arial" w:hAnsi="Arial" w:cs="Arial"/>
          <w:b/>
          <w:sz w:val="28"/>
          <w:szCs w:val="28"/>
          <w:lang w:val="pt-BR"/>
        </w:rPr>
        <w:t>ASSOCIADOS À REDUÇÃO DE ADUBAÇÃO NITROGENADA</w:t>
      </w:r>
    </w:p>
    <w:bookmarkEnd w:id="0"/>
    <w:p w:rsidR="00AB4D56" w:rsidRPr="001F1568" w:rsidRDefault="00AB4D56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AB4D56" w:rsidRPr="00994F64" w:rsidRDefault="00AB4D56" w:rsidP="00AB4D56">
      <w:pPr>
        <w:pStyle w:val="LO-normal"/>
        <w:ind w:right="284"/>
        <w:jc w:val="center"/>
        <w:rPr>
          <w:rFonts w:ascii="Arial" w:eastAsia="Arial" w:hAnsi="Arial" w:cs="Arial"/>
          <w:color w:val="auto"/>
          <w:sz w:val="20"/>
          <w:szCs w:val="20"/>
          <w:u w:color="000000"/>
          <w:lang w:val="pt-BR"/>
        </w:rPr>
      </w:pPr>
      <w:r w:rsidRPr="00994F64">
        <w:rPr>
          <w:rFonts w:ascii="Arial" w:hAnsi="Arial" w:cs="Arial"/>
          <w:color w:val="auto"/>
          <w:sz w:val="20"/>
          <w:szCs w:val="20"/>
          <w:u w:val="single"/>
          <w:lang w:val="pt-BR"/>
        </w:rPr>
        <w:t>Tatiele Yara Baroncello</w:t>
      </w:r>
      <w:r w:rsidRPr="00994F64">
        <w:rPr>
          <w:rFonts w:ascii="Arial" w:hAnsi="Arial" w:cs="Arial"/>
          <w:color w:val="auto"/>
          <w:sz w:val="20"/>
          <w:szCs w:val="20"/>
          <w:u w:color="00000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, Abílio </w:t>
      </w:r>
      <w:proofErr w:type="spellStart"/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>Spautz</w:t>
      </w:r>
      <w:proofErr w:type="spellEnd"/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 Netto</w:t>
      </w:r>
      <w:r w:rsidRPr="00994F64">
        <w:rPr>
          <w:rFonts w:ascii="Arial" w:hAnsi="Arial" w:cs="Arial"/>
          <w:color w:val="auto"/>
          <w:sz w:val="20"/>
          <w:szCs w:val="20"/>
          <w:u w:color="00000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, </w:t>
      </w:r>
      <w:r w:rsidRPr="00994F64">
        <w:rPr>
          <w:rFonts w:ascii="Arial" w:hAnsi="Arial" w:cs="Arial"/>
          <w:color w:val="auto"/>
          <w:sz w:val="20"/>
          <w:szCs w:val="20"/>
          <w:lang w:val="pt-BR"/>
        </w:rPr>
        <w:t>Gabrielle Vieira Seeber</w:t>
      </w:r>
      <w:r w:rsidRPr="00994F64">
        <w:rPr>
          <w:rFonts w:ascii="Arial" w:hAnsi="Arial" w:cs="Arial"/>
          <w:color w:val="auto"/>
          <w:sz w:val="20"/>
          <w:szCs w:val="2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lang w:val="pt-BR"/>
        </w:rPr>
        <w:t>, Nathan Antunes de Souza</w:t>
      </w:r>
      <w:r w:rsidRPr="00994F64">
        <w:rPr>
          <w:rFonts w:ascii="Arial" w:hAnsi="Arial" w:cs="Arial"/>
          <w:color w:val="auto"/>
          <w:sz w:val="20"/>
          <w:szCs w:val="2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lang w:val="pt-BR"/>
        </w:rPr>
        <w:t>, Vinícius José Farias</w:t>
      </w:r>
      <w:r w:rsidRPr="00994F64">
        <w:rPr>
          <w:rFonts w:ascii="Arial" w:hAnsi="Arial" w:cs="Arial"/>
          <w:color w:val="auto"/>
          <w:sz w:val="20"/>
          <w:szCs w:val="2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, Sonia </w:t>
      </w:r>
      <w:proofErr w:type="spellStart"/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>Purin</w:t>
      </w:r>
      <w:proofErr w:type="spellEnd"/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 da Cruz</w:t>
      </w:r>
      <w:r w:rsidRPr="00994F64">
        <w:rPr>
          <w:rFonts w:ascii="Arial" w:hAnsi="Arial" w:cs="Arial"/>
          <w:color w:val="auto"/>
          <w:sz w:val="20"/>
          <w:szCs w:val="20"/>
          <w:u w:color="000000"/>
          <w:vertAlign w:val="superscript"/>
          <w:lang w:val="pt-BR"/>
        </w:rPr>
        <w:t>2</w:t>
      </w:r>
      <w:r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  <w:u w:color="000000"/>
          <w:lang w:val="pt-BR"/>
        </w:rPr>
        <w:t>Ke</w:t>
      </w:r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>len</w:t>
      </w:r>
      <w:proofErr w:type="spellEnd"/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 xml:space="preserve"> Cristina Basso</w:t>
      </w:r>
      <w:r w:rsidRPr="00994F64">
        <w:rPr>
          <w:rFonts w:ascii="Arial" w:hAnsi="Arial" w:cs="Arial"/>
          <w:color w:val="auto"/>
          <w:sz w:val="20"/>
          <w:szCs w:val="20"/>
          <w:u w:color="000000"/>
          <w:vertAlign w:val="superscript"/>
          <w:lang w:val="pt-BR"/>
        </w:rPr>
        <w:t xml:space="preserve">2 </w:t>
      </w:r>
    </w:p>
    <w:p w:rsidR="00AB4D56" w:rsidRPr="00994F64" w:rsidRDefault="00AB4D56" w:rsidP="00AB4D56">
      <w:pPr>
        <w:pStyle w:val="LO-normal"/>
        <w:ind w:right="-8"/>
        <w:jc w:val="center"/>
        <w:rPr>
          <w:rFonts w:ascii="Arial" w:eastAsia="Arial" w:hAnsi="Arial" w:cs="Arial"/>
          <w:color w:val="auto"/>
          <w:sz w:val="22"/>
          <w:szCs w:val="22"/>
          <w:u w:color="000000"/>
          <w:lang w:val="pt-BR"/>
        </w:rPr>
      </w:pPr>
    </w:p>
    <w:p w:rsidR="00AB4D56" w:rsidRPr="00994F64" w:rsidRDefault="00AB4D56" w:rsidP="00AB4D56">
      <w:pPr>
        <w:pStyle w:val="LO-normal"/>
        <w:ind w:right="284"/>
        <w:jc w:val="center"/>
        <w:rPr>
          <w:rFonts w:ascii="Arial" w:eastAsia="Arial" w:hAnsi="Arial" w:cs="Arial"/>
          <w:color w:val="auto"/>
          <w:sz w:val="20"/>
          <w:szCs w:val="20"/>
          <w:u w:color="000000"/>
          <w:lang w:val="pt-BR"/>
        </w:rPr>
      </w:pPr>
      <w:r w:rsidRPr="00994F64">
        <w:rPr>
          <w:rFonts w:ascii="Arial" w:hAnsi="Arial" w:cs="Arial"/>
          <w:color w:val="auto"/>
          <w:sz w:val="20"/>
          <w:szCs w:val="20"/>
          <w:vertAlign w:val="superscript"/>
          <w:lang w:val="pt-BR"/>
        </w:rPr>
        <w:t>1</w:t>
      </w:r>
      <w:r w:rsidRPr="00994F64">
        <w:rPr>
          <w:rFonts w:ascii="Arial" w:hAnsi="Arial" w:cs="Arial"/>
          <w:color w:val="auto"/>
          <w:sz w:val="20"/>
          <w:szCs w:val="20"/>
          <w:lang w:val="pt-BR"/>
        </w:rPr>
        <w:t xml:space="preserve">Discente do curso de Agronomia, Universidade Federal de Santa Catarina, Curitibanos, SC, Brasil, </w:t>
      </w:r>
      <w:r w:rsidRPr="00994F64">
        <w:rPr>
          <w:rFonts w:ascii="Arial" w:hAnsi="Arial" w:cs="Arial"/>
          <w:color w:val="auto"/>
          <w:sz w:val="20"/>
          <w:szCs w:val="20"/>
          <w:vertAlign w:val="superscript"/>
          <w:lang w:val="pt-BR"/>
        </w:rPr>
        <w:t>2</w:t>
      </w:r>
      <w:r w:rsidRPr="00994F64">
        <w:rPr>
          <w:rFonts w:ascii="Arial" w:hAnsi="Arial" w:cs="Arial"/>
          <w:color w:val="auto"/>
          <w:sz w:val="20"/>
          <w:szCs w:val="20"/>
          <w:lang w:val="pt-BR"/>
        </w:rPr>
        <w:t xml:space="preserve">Docente do curso de Agronomia, Universidade Federal de Santa Catarina, Curitibanos, SC, Brasil. </w:t>
      </w:r>
      <w:r w:rsidRPr="00994F64">
        <w:rPr>
          <w:rFonts w:ascii="Arial" w:hAnsi="Arial" w:cs="Arial"/>
          <w:color w:val="auto"/>
          <w:sz w:val="20"/>
          <w:szCs w:val="20"/>
          <w:u w:color="000000"/>
          <w:lang w:val="pt-BR"/>
        </w:rPr>
        <w:t>E-mail: tatibaroncello27@gmail.com</w:t>
      </w:r>
    </w:p>
    <w:p w:rsidR="00C167A5" w:rsidRDefault="00C167A5">
      <w:pPr>
        <w:pStyle w:val="LO-normal"/>
        <w:ind w:right="284"/>
        <w:rPr>
          <w:rFonts w:ascii="Arial" w:eastAsia="Arial" w:hAnsi="Arial" w:cs="Arial"/>
          <w:color w:val="auto"/>
          <w:sz w:val="22"/>
          <w:szCs w:val="22"/>
          <w:u w:color="000000"/>
        </w:rPr>
      </w:pPr>
    </w:p>
    <w:p w:rsidR="00C167A5" w:rsidRDefault="00564934">
      <w:pPr>
        <w:pStyle w:val="LO-normal"/>
        <w:jc w:val="both"/>
        <w:rPr>
          <w:rFonts w:ascii="Arial" w:hAnsi="Arial" w:cs="Arial"/>
          <w:color w:val="auto"/>
          <w:sz w:val="22"/>
          <w:szCs w:val="22"/>
          <w:u w:color="000000"/>
          <w:lang w:val="pt-BR"/>
        </w:rPr>
      </w:pPr>
      <w:r w:rsidRPr="001F1568">
        <w:rPr>
          <w:rFonts w:ascii="Arial" w:hAnsi="Arial"/>
          <w:b/>
          <w:bCs/>
          <w:color w:val="auto"/>
          <w:sz w:val="22"/>
          <w:szCs w:val="22"/>
          <w:u w:color="000000"/>
          <w:lang w:val="pt-BR"/>
        </w:rPr>
        <w:t>Contribuição para a sociedade</w:t>
      </w:r>
      <w:r w:rsidRPr="001F1568">
        <w:rPr>
          <w:rFonts w:ascii="Arial" w:hAnsi="Arial"/>
          <w:color w:val="auto"/>
          <w:sz w:val="22"/>
          <w:szCs w:val="22"/>
          <w:u w:color="000000"/>
          <w:lang w:val="pt-BR"/>
        </w:rPr>
        <w:t>: O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alto custo dos insumos agrícolas, como os fertilizantes nitrogenados, leva à adoção de alternativas mais sustentáveis financeiramente, que reduzam os custos de produção e também promovam uma produção agrícola mais responsável ambientalmente. Uma dessas alternativas é a utilização de microrganismos </w:t>
      </w:r>
      <w:r>
        <w:rPr>
          <w:rFonts w:ascii="Arial" w:hAnsi="Arial" w:cs="Arial"/>
          <w:color w:val="auto"/>
          <w:sz w:val="22"/>
          <w:szCs w:val="22"/>
          <w:lang w:val="pt-BR"/>
        </w:rPr>
        <w:t>que promovem a fixação de nitrogênio e auxiliam no crescimento das plantas, auxiliando no desenvolvimento das pastagens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. O presente estudo avaliou o desempenho do uso das bactérias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>Azospirillum</w:t>
      </w:r>
      <w:proofErr w:type="spellEnd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 brasilense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e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>fluorescens</w:t>
      </w:r>
      <w:proofErr w:type="spellEnd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quando a adubação nitrogenada é reduzida em relação a produção de forragem de </w:t>
      </w:r>
      <w:proofErr w:type="spellStart"/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Tifton</w:t>
      </w:r>
      <w:proofErr w:type="spellEnd"/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85. Foi possível observar que a inoculação com </w:t>
      </w:r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P.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>fluorescens</w:t>
      </w:r>
      <w:proofErr w:type="spellEnd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promoveu um aumento na massa de forragem, bem como aumento na quantidade de nitrogênio e proteína na massa de forragem. Desta forma, evidencia-se um vasto potencial na utilização dessa bactéria, o que abre amplas oportunidades para pesquisas e aplicações futuras.</w:t>
      </w:r>
    </w:p>
    <w:p w:rsidR="00C167A5" w:rsidRDefault="00C167A5">
      <w:pPr>
        <w:pStyle w:val="LO-normal"/>
        <w:jc w:val="both"/>
        <w:rPr>
          <w:rFonts w:ascii="Arial" w:hAnsi="Arial" w:cs="Arial"/>
          <w:color w:val="auto"/>
          <w:sz w:val="22"/>
          <w:szCs w:val="22"/>
          <w:u w:color="000000"/>
          <w:lang w:val="pt-BR"/>
        </w:rPr>
      </w:pPr>
    </w:p>
    <w:p w:rsidR="00C167A5" w:rsidRPr="001F1568" w:rsidRDefault="00564934">
      <w:pPr>
        <w:pStyle w:val="LO-normal"/>
        <w:jc w:val="both"/>
        <w:rPr>
          <w:color w:val="auto"/>
          <w:sz w:val="22"/>
          <w:szCs w:val="22"/>
          <w:lang w:val="pt-BR"/>
        </w:rPr>
      </w:pPr>
      <w:r w:rsidRPr="001F1568">
        <w:rPr>
          <w:rFonts w:ascii="Arial" w:hAnsi="Arial"/>
          <w:b/>
          <w:bCs/>
          <w:color w:val="auto"/>
          <w:sz w:val="22"/>
          <w:szCs w:val="22"/>
          <w:u w:color="000000"/>
          <w:lang w:val="pt-BR"/>
        </w:rPr>
        <w:t>Palavras-chave</w:t>
      </w:r>
      <w:r w:rsidRPr="001F1568">
        <w:rPr>
          <w:rFonts w:ascii="Arial" w:hAnsi="Arial"/>
          <w:color w:val="auto"/>
          <w:sz w:val="22"/>
          <w:szCs w:val="22"/>
          <w:u w:color="000000"/>
          <w:lang w:val="pt-BR"/>
        </w:rPr>
        <w:t xml:space="preserve">: </w:t>
      </w:r>
      <w:proofErr w:type="spellStart"/>
      <w:r w:rsidRPr="001F1568">
        <w:rPr>
          <w:rFonts w:ascii="Arial" w:hAnsi="Arial"/>
          <w:i/>
          <w:color w:val="auto"/>
          <w:sz w:val="22"/>
          <w:szCs w:val="22"/>
          <w:u w:color="000000"/>
          <w:lang w:val="pt-BR"/>
        </w:rPr>
        <w:t>Cynodon</w:t>
      </w:r>
      <w:proofErr w:type="spellEnd"/>
      <w:r w:rsidRPr="001F1568">
        <w:rPr>
          <w:rFonts w:ascii="Arial" w:hAnsi="Arial"/>
          <w:color w:val="auto"/>
          <w:sz w:val="22"/>
          <w:szCs w:val="22"/>
          <w:u w:color="000000"/>
          <w:lang w:val="pt-BR"/>
        </w:rPr>
        <w:t xml:space="preserve"> spp., Feno, </w:t>
      </w:r>
      <w:proofErr w:type="spellStart"/>
      <w:r w:rsidRPr="001F1568">
        <w:rPr>
          <w:rFonts w:ascii="Arial" w:hAnsi="Arial"/>
          <w:color w:val="auto"/>
          <w:sz w:val="22"/>
          <w:szCs w:val="22"/>
          <w:u w:color="000000"/>
          <w:lang w:val="pt-BR"/>
        </w:rPr>
        <w:t>Pré</w:t>
      </w:r>
      <w:proofErr w:type="spellEnd"/>
      <w:r w:rsidRPr="001F1568">
        <w:rPr>
          <w:rFonts w:ascii="Arial" w:hAnsi="Arial"/>
          <w:color w:val="auto"/>
          <w:sz w:val="22"/>
          <w:szCs w:val="22"/>
          <w:u w:color="000000"/>
          <w:lang w:val="pt-BR"/>
        </w:rPr>
        <w:t xml:space="preserve">-secado, </w:t>
      </w:r>
      <w:proofErr w:type="spellStart"/>
      <w:r w:rsidRPr="001F1568">
        <w:rPr>
          <w:rFonts w:ascii="Arial" w:hAnsi="Arial" w:cs="Arial"/>
          <w:color w:val="auto"/>
          <w:sz w:val="22"/>
          <w:szCs w:val="22"/>
          <w:lang w:val="pt-BR"/>
        </w:rPr>
        <w:t>Rizobactérias</w:t>
      </w:r>
      <w:proofErr w:type="spellEnd"/>
      <w:r w:rsidRPr="001F1568"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p w:rsidR="00C167A5" w:rsidRPr="001F1568" w:rsidRDefault="00C167A5">
      <w:pPr>
        <w:pStyle w:val="LO-normal"/>
        <w:jc w:val="both"/>
        <w:rPr>
          <w:rFonts w:ascii="Arial" w:hAnsi="Arial"/>
          <w:color w:val="auto"/>
          <w:sz w:val="22"/>
          <w:szCs w:val="22"/>
          <w:u w:color="000000"/>
          <w:lang w:val="pt-BR"/>
        </w:rPr>
      </w:pPr>
    </w:p>
    <w:p w:rsidR="00C167A5" w:rsidRDefault="00564934">
      <w:pPr>
        <w:pStyle w:val="LO-normal"/>
        <w:jc w:val="both"/>
        <w:rPr>
          <w:rFonts w:ascii="Arial" w:hAnsi="Arial" w:cs="Arial"/>
          <w:iCs/>
          <w:color w:val="auto"/>
          <w:sz w:val="22"/>
          <w:szCs w:val="22"/>
          <w:lang w:val="pt-BR"/>
        </w:rPr>
      </w:pPr>
      <w:r w:rsidRPr="001F1568">
        <w:rPr>
          <w:rFonts w:ascii="Arial" w:hAnsi="Arial" w:cs="Arial"/>
          <w:b/>
          <w:bCs/>
          <w:color w:val="auto"/>
          <w:sz w:val="22"/>
          <w:szCs w:val="22"/>
          <w:u w:color="000000"/>
          <w:lang w:val="pt-BR"/>
        </w:rPr>
        <w:t>Introdução:</w:t>
      </w:r>
      <w:r w:rsidRPr="001F1568"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 xml:space="preserve"> </w:t>
      </w:r>
      <w:bookmarkStart w:id="1" w:name="_headingh.30j0zll"/>
      <w:bookmarkEnd w:id="1"/>
      <w:r w:rsidRPr="001F1568"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>H</w:t>
      </w:r>
      <w:r>
        <w:rPr>
          <w:rFonts w:ascii="Arial" w:hAnsi="Arial" w:cs="Arial"/>
          <w:color w:val="auto"/>
          <w:sz w:val="22"/>
          <w:szCs w:val="22"/>
          <w:lang w:val="pt-BR"/>
        </w:rPr>
        <w:t>á vários anos o setor do agronegócio é um dos pilares da economia brasileira, setor que mais movimenta o país, sendo responsável por mais de 24,8% do PIB no ano de 2022 (CEPEA 2023). Para suprir toda a demanda que o setor tem em questão de alimentação é necessário adotar-se práticas que aumentem a produtividade de forragem. A adubação em pastagens se torna essencial para elevar os níveis produtivos das espécies forrageiras e sua capacidade de suporte animal (FAGUNDES et al</w:t>
      </w:r>
      <w:r>
        <w:rPr>
          <w:rFonts w:ascii="Arial" w:hAnsi="Arial" w:cs="Arial"/>
          <w:i/>
          <w:color w:val="auto"/>
          <w:sz w:val="22"/>
          <w:szCs w:val="22"/>
          <w:lang w:val="pt-BR"/>
        </w:rPr>
        <w:t>.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2011). Uma das alternativas para diminuir os custos com adubação nitrogenada é a utilização de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inoculantes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compostos por microrganismos promotores de crescimento. Porém, a grande</w:t>
      </w:r>
      <w:r w:rsidR="00805521">
        <w:rPr>
          <w:rFonts w:ascii="Arial" w:hAnsi="Arial" w:cs="Arial"/>
          <w:color w:val="auto"/>
          <w:sz w:val="22"/>
          <w:szCs w:val="22"/>
          <w:lang w:val="pt-BR"/>
        </w:rPr>
        <w:t xml:space="preserve"> maioria dos estudos é realizada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com culturas de grãos, e pouco é estudado a respeito dessas bactérias em pastagens. </w:t>
      </w:r>
      <w:r w:rsidRPr="00805521">
        <w:rPr>
          <w:rFonts w:ascii="Arial" w:hAnsi="Arial" w:cs="Arial"/>
          <w:color w:val="auto"/>
          <w:sz w:val="22"/>
          <w:szCs w:val="22"/>
        </w:rPr>
        <w:t>Nesse sentido, o estudo de Hungria et al</w:t>
      </w:r>
      <w:r w:rsidRPr="00805521">
        <w:rPr>
          <w:rFonts w:ascii="Arial" w:hAnsi="Arial" w:cs="Arial"/>
          <w:i/>
          <w:color w:val="auto"/>
          <w:sz w:val="22"/>
          <w:szCs w:val="22"/>
        </w:rPr>
        <w:t>.</w:t>
      </w:r>
      <w:r w:rsidRPr="0080552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(2021) foi pioneiro demonstrando o sucesso do uso de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inoculantes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em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Brachiaria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t-BR"/>
        </w:rPr>
        <w:t>spp., e levantou possibilidades de pesquisas em outras pastagens. Dessa forma, objetivo do presente estudo foi avaliar o potencial de red</w:t>
      </w:r>
      <w:r w:rsidR="00D56D0F">
        <w:rPr>
          <w:rFonts w:ascii="Arial" w:hAnsi="Arial" w:cs="Arial"/>
          <w:color w:val="auto"/>
          <w:sz w:val="22"/>
          <w:szCs w:val="22"/>
          <w:lang w:val="pt-BR"/>
        </w:rPr>
        <w:t xml:space="preserve">ução da adubação nitrogenada em </w:t>
      </w:r>
      <w:proofErr w:type="spellStart"/>
      <w:r w:rsidR="00D56D0F">
        <w:rPr>
          <w:rFonts w:ascii="Arial" w:hAnsi="Arial" w:cs="Arial"/>
          <w:color w:val="auto"/>
          <w:sz w:val="22"/>
          <w:szCs w:val="22"/>
          <w:lang w:val="pt-BR"/>
        </w:rPr>
        <w:t>T</w:t>
      </w:r>
      <w:r>
        <w:rPr>
          <w:rFonts w:ascii="Arial" w:hAnsi="Arial" w:cs="Arial"/>
          <w:color w:val="auto"/>
          <w:sz w:val="22"/>
          <w:szCs w:val="22"/>
          <w:lang w:val="pt-BR"/>
        </w:rPr>
        <w:t>ifton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85 com a inoculação com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brasilense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e</w:t>
      </w:r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iCs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iCs/>
          <w:color w:val="auto"/>
          <w:sz w:val="22"/>
          <w:szCs w:val="22"/>
          <w:lang w:val="pt-BR"/>
        </w:rPr>
        <w:t>.</w:t>
      </w:r>
    </w:p>
    <w:p w:rsidR="00C167A5" w:rsidRDefault="00C167A5">
      <w:pPr>
        <w:pStyle w:val="LO-normal"/>
        <w:jc w:val="both"/>
        <w:rPr>
          <w:rFonts w:ascii="Arial" w:hAnsi="Arial" w:cs="Arial"/>
          <w:i/>
          <w:iCs/>
          <w:color w:val="auto"/>
          <w:sz w:val="22"/>
          <w:szCs w:val="22"/>
          <w:lang w:val="pt-BR"/>
        </w:rPr>
      </w:pPr>
    </w:p>
    <w:p w:rsidR="00C167A5" w:rsidRPr="00AB4D56" w:rsidRDefault="00564934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1F1568">
        <w:rPr>
          <w:rFonts w:ascii="Arial" w:hAnsi="Arial" w:cs="Arial"/>
          <w:b/>
          <w:bCs/>
          <w:color w:val="auto"/>
          <w:sz w:val="22"/>
          <w:szCs w:val="22"/>
          <w:u w:color="000000"/>
          <w:lang w:val="pt-BR"/>
        </w:rPr>
        <w:t>Material e métodos:</w:t>
      </w:r>
      <w:r w:rsidRPr="001F1568"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 xml:space="preserve"> O</w:t>
      </w:r>
      <w:r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 xml:space="preserve"> experimento foi conduzido na Fazenda Irmãos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>Gemelli</w:t>
      </w:r>
      <w:proofErr w:type="spellEnd"/>
      <w:r>
        <w:rPr>
          <w:rFonts w:ascii="Arial" w:hAnsi="Arial" w:cs="Arial"/>
          <w:bCs/>
          <w:color w:val="auto"/>
          <w:sz w:val="22"/>
          <w:szCs w:val="22"/>
          <w:u w:color="000000"/>
          <w:lang w:val="pt-BR"/>
        </w:rPr>
        <w:t xml:space="preserve">, localizada em Curitibanos-SC, em parceria com a EMBRAPA Soja, no período de 03 de janeiro a 27 de março de 2023.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Ele foi implantado sob delineamento de blocos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casualizados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(DBC), e foram estudados seis tratamentos, com cinco repetições cada, totalizando 30 parcelas experimentais. As parcelas possuíam um tamanho de 4,0 x 4,0 m. Os tratamentos foram: T1) testemunha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9B233E">
        <w:rPr>
          <w:rFonts w:ascii="Arial" w:hAnsi="Arial" w:cs="Arial"/>
          <w:color w:val="auto"/>
          <w:sz w:val="22"/>
          <w:szCs w:val="22"/>
          <w:lang w:val="pt-BR"/>
        </w:rPr>
        <w:t>(sem adubação e inoculação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>)</w:t>
      </w:r>
      <w:r w:rsidR="009B233E">
        <w:rPr>
          <w:rFonts w:ascii="Arial" w:hAnsi="Arial" w:cs="Arial"/>
          <w:color w:val="auto"/>
          <w:sz w:val="22"/>
          <w:szCs w:val="22"/>
          <w:lang w:val="pt-BR"/>
        </w:rPr>
        <w:t>,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T2) 100% N, T3) 25% N, T4) 25% N +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brasilense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, T5) 25% N +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, T6) 25% N +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brasilense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e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 w:rsidR="009B233E">
        <w:rPr>
          <w:rFonts w:ascii="Arial" w:hAnsi="Arial" w:cs="Arial"/>
          <w:color w:val="auto"/>
          <w:sz w:val="22"/>
          <w:szCs w:val="22"/>
          <w:lang w:val="pt-BR"/>
        </w:rPr>
        <w:t>. A inoculação foi realizada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com auxílio de um pulverizador com jato dirigido ao solo quando as plantas se encontravam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 xml:space="preserve"> no estágio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entre V3 e V4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>, emissão da terceira a quarta folha, após cada corte realizado pela fazenda</w:t>
      </w:r>
      <w:r w:rsidR="006B3375">
        <w:rPr>
          <w:rFonts w:ascii="Arial" w:hAnsi="Arial" w:cs="Arial"/>
          <w:color w:val="auto"/>
          <w:sz w:val="22"/>
          <w:szCs w:val="22"/>
          <w:lang w:val="pt-BR"/>
        </w:rPr>
        <w:t xml:space="preserve">. </w:t>
      </w:r>
      <w:r w:rsidR="00D036B3">
        <w:rPr>
          <w:rFonts w:ascii="Arial" w:hAnsi="Arial" w:cs="Arial"/>
          <w:color w:val="auto"/>
          <w:sz w:val="22"/>
          <w:szCs w:val="22"/>
          <w:lang w:val="pt-BR"/>
        </w:rPr>
        <w:t xml:space="preserve">A pastagem na área já era </w:t>
      </w:r>
      <w:r w:rsidR="00D036B3">
        <w:rPr>
          <w:rFonts w:ascii="Arial" w:hAnsi="Arial" w:cs="Arial"/>
          <w:color w:val="auto"/>
          <w:sz w:val="22"/>
          <w:szCs w:val="22"/>
          <w:lang w:val="pt-BR"/>
        </w:rPr>
        <w:lastRenderedPageBreak/>
        <w:t>implantada e durante o experimento não foi fornecido nenhum outro fertilizante químico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 xml:space="preserve"> além do nitrogênio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. </w:t>
      </w:r>
      <w:r>
        <w:rPr>
          <w:rFonts w:ascii="Arial" w:hAnsi="Arial" w:cs="Arial"/>
          <w:iCs/>
          <w:color w:val="auto"/>
          <w:sz w:val="22"/>
          <w:szCs w:val="22"/>
          <w:lang w:val="pt-BR"/>
        </w:rPr>
        <w:t xml:space="preserve">Para a adubação nitrogenada, considerou-se a dose de 150kg de ureia </w:t>
      </w:r>
      <w:r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lang w:val="pt-BR"/>
        </w:rPr>
        <w:t>ha</w:t>
      </w:r>
      <w:r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vertAlign w:val="superscript"/>
          <w:lang w:val="pt-BR"/>
        </w:rPr>
        <w:t>-1</w:t>
      </w:r>
      <w:r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lang w:val="pt-BR"/>
        </w:rPr>
        <w:t xml:space="preserve">, que foi a utilizada pelo proprietário, como referência. </w:t>
      </w:r>
      <w:r>
        <w:rPr>
          <w:rFonts w:ascii="Arial" w:hAnsi="Arial" w:cs="Arial"/>
          <w:color w:val="auto"/>
          <w:sz w:val="22"/>
          <w:szCs w:val="22"/>
          <w:lang w:val="pt-BR"/>
        </w:rPr>
        <w:t>Com o auxílio de uma régua foi determinada a altura média de cada parcela. Em seguida era colocado um quadro metálico de 0,25m</w:t>
      </w:r>
      <w:r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>2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na região que tivesse a média de altura da parcela e feito o corte das plantas dentro do quadro para determinação de massa de forragem. Com o auxílio de uma tesoura de jardinagem, o corte foi realizado na mesma altura do corte da segadeira de feno e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pré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-secado, aproximadamente 5 a 7 cm do solo. Esse material foi colocado em sacos plásticos, identificados, levados ao laboratório da Fazenda Experimental da UFSC, campus Curitibanos. Em laboratório, o material foi inicialmente pesado em balança eletrônica e em seguida foi dividido em duas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subamostras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. Uma das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subamostras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foi colocada em estufa para secagem na temperatura de 65º por 72 horas e em seguida pesada novamente para determinação da porcentagem de matéria seca (%MS). Com isso, foi possível obter-se a quantidade de MS ha</w:t>
      </w:r>
      <w:r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. Essa amostra posteriormente foi moída e utilizada para análise de nitrogênio. Para fins da análise de nitrogênio, as amostras foram moídas e peneiradas. </w:t>
      </w:r>
      <w:r w:rsidR="004C1574">
        <w:rPr>
          <w:rFonts w:ascii="Arial" w:hAnsi="Arial" w:cs="Arial"/>
          <w:color w:val="auto"/>
          <w:sz w:val="22"/>
          <w:szCs w:val="22"/>
          <w:lang w:val="pt-BR"/>
        </w:rPr>
        <w:t>A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análise de N foi feita </w:t>
      </w:r>
      <w:r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seguindo-se o método de </w:t>
      </w:r>
      <w:proofErr w:type="spellStart"/>
      <w:r w:rsidRPr="00AB4D56">
        <w:rPr>
          <w:rFonts w:ascii="Arial" w:hAnsi="Arial" w:cs="Arial"/>
          <w:color w:val="auto"/>
          <w:sz w:val="22"/>
          <w:szCs w:val="22"/>
          <w:lang w:val="pt-BR"/>
        </w:rPr>
        <w:t>Kjeldahl</w:t>
      </w:r>
      <w:proofErr w:type="spellEnd"/>
      <w:r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(TEDESCO et al., 1995).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B944AC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O teor de nitrogênio na massa de forragem foi </w:t>
      </w:r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>determinado</w:t>
      </w:r>
      <w:r w:rsidR="00B944AC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através de métodos químicos</w:t>
      </w:r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de digestão, extra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ção e titulação, obtendo-se a </w:t>
      </w:r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>quantidade de nitrogênio presente na amostra</w:t>
      </w:r>
      <w:r w:rsidR="00324DC3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324DC3" w:rsidRPr="001F1568">
        <w:rPr>
          <w:rFonts w:ascii="Arial" w:hAnsi="Arial" w:cs="Arial"/>
          <w:sz w:val="22"/>
          <w:szCs w:val="22"/>
          <w:lang w:val="pt-BR"/>
        </w:rPr>
        <w:t>em miligramas de nitrogênio por grama de amostra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. No </w:t>
      </w:r>
      <w:r w:rsidR="00324DC3" w:rsidRPr="00AB4D56">
        <w:rPr>
          <w:rFonts w:ascii="Arial" w:hAnsi="Arial" w:cs="Arial"/>
          <w:color w:val="auto"/>
          <w:sz w:val="22"/>
          <w:szCs w:val="22"/>
          <w:lang w:val="pt-BR"/>
        </w:rPr>
        <w:t>cálculo do nitrogênio acumulado, esse valor foi multiplicado pelo tamanho do q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>uadro de corte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 xml:space="preserve"> (0,25 m</w:t>
      </w:r>
      <w:r w:rsidR="00AB4D56"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>2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>)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e multiplicado 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>por 10.000 (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>equivalente a 1 hectare</w:t>
      </w:r>
      <w:r w:rsidR="00AB4D56">
        <w:rPr>
          <w:rFonts w:ascii="Arial" w:hAnsi="Arial" w:cs="Arial"/>
          <w:color w:val="auto"/>
          <w:sz w:val="22"/>
          <w:szCs w:val="22"/>
          <w:lang w:val="pt-BR"/>
        </w:rPr>
        <w:t>)</w:t>
      </w:r>
      <w:r w:rsidR="00AB4D56" w:rsidRPr="00AB4D56">
        <w:rPr>
          <w:rFonts w:ascii="Arial" w:hAnsi="Arial" w:cs="Arial"/>
          <w:color w:val="auto"/>
          <w:sz w:val="22"/>
          <w:szCs w:val="22"/>
          <w:lang w:val="pt-BR"/>
        </w:rPr>
        <w:t>. Posteriormente, f</w:t>
      </w:r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>oi possível determinar a porcentagem de proteína da mesma através da f</w:t>
      </w:r>
      <w:r w:rsidR="00324DC3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órmula de PB= </w:t>
      </w:r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Nitrogênio Total </w:t>
      </w:r>
      <w:proofErr w:type="gramStart"/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>x</w:t>
      </w:r>
      <w:proofErr w:type="gramEnd"/>
      <w:r w:rsidR="00337C06" w:rsidRPr="00AB4D56">
        <w:rPr>
          <w:rFonts w:ascii="Arial" w:hAnsi="Arial" w:cs="Arial"/>
          <w:color w:val="auto"/>
          <w:sz w:val="22"/>
          <w:szCs w:val="22"/>
          <w:lang w:val="pt-BR"/>
        </w:rPr>
        <w:t xml:space="preserve"> Fator de Conversão. </w:t>
      </w:r>
      <w:r w:rsidRPr="00AB4D56">
        <w:rPr>
          <w:rFonts w:ascii="Arial" w:hAnsi="Arial" w:cs="Arial"/>
          <w:color w:val="auto"/>
          <w:sz w:val="22"/>
          <w:szCs w:val="22"/>
          <w:lang w:val="pt-BR"/>
        </w:rPr>
        <w:t>As análises estatísticas foram realizadas através do programa SISVAR. Os resultados foram submetidos à análise de variância (ANOVA), para avaliação das diferenças significativas entre os tratamentos. Havendo diferença, as médias foram comparadas pelo teste de Scott-</w:t>
      </w:r>
      <w:proofErr w:type="spellStart"/>
      <w:r w:rsidRPr="00AB4D56">
        <w:rPr>
          <w:rFonts w:ascii="Arial" w:hAnsi="Arial" w:cs="Arial"/>
          <w:color w:val="auto"/>
          <w:sz w:val="22"/>
          <w:szCs w:val="22"/>
          <w:lang w:val="pt-BR"/>
        </w:rPr>
        <w:t>Knott</w:t>
      </w:r>
      <w:proofErr w:type="spellEnd"/>
      <w:r w:rsidRPr="00AB4D56">
        <w:rPr>
          <w:rFonts w:ascii="Arial" w:hAnsi="Arial" w:cs="Arial"/>
          <w:color w:val="auto"/>
          <w:sz w:val="22"/>
          <w:szCs w:val="22"/>
          <w:lang w:val="pt-BR"/>
        </w:rPr>
        <w:t>, ao nível de probabilidade de erro de 10%.</w:t>
      </w:r>
    </w:p>
    <w:p w:rsidR="00C167A5" w:rsidRPr="001F1568" w:rsidRDefault="00C167A5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C167A5" w:rsidRDefault="00564934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1F1568">
        <w:rPr>
          <w:rFonts w:ascii="Arial" w:hAnsi="Arial" w:cs="Arial"/>
          <w:b/>
          <w:bCs/>
          <w:color w:val="auto"/>
          <w:sz w:val="22"/>
          <w:szCs w:val="22"/>
          <w:u w:color="000000"/>
          <w:lang w:val="pt-BR"/>
        </w:rPr>
        <w:t>Resultados e discussões:</w:t>
      </w:r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É possível observar que os resultados foram muito promissores com a utilização dos microrganismos em</w:t>
      </w:r>
      <w:r w:rsidR="009B233E"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</w:t>
      </w:r>
      <w:proofErr w:type="spellStart"/>
      <w:r w:rsidR="00D56D0F">
        <w:rPr>
          <w:rFonts w:ascii="Arial" w:hAnsi="Arial" w:cs="Arial"/>
          <w:color w:val="auto"/>
          <w:sz w:val="22"/>
          <w:szCs w:val="22"/>
          <w:u w:color="000000"/>
          <w:lang w:val="pt-BR"/>
        </w:rPr>
        <w:t>T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ifton</w:t>
      </w:r>
      <w:proofErr w:type="spellEnd"/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 85, especialmente </w:t>
      </w:r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 xml:space="preserve">P.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u w:color="000000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. As parcelas onde se empregou os tratamentos T2 e T5 apresentaram resultados semelhantes e se destacaram em relação aos demais, em todas as variáveis estudadas (Tabela 1). Na massa verde e seca de forragem,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pastos com a aplicação de 100% da adubação resultaram em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13.128,56 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k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g de MV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 e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3.036,13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kg de MS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, com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25% N +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 resultou em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11.027,92 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>k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g de MV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 e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2.664,41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kg de MS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. Esses resultados evidenciam o potencial de uso da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. O mesmo também foi observado por </w:t>
      </w:r>
      <w:r>
        <w:rPr>
          <w:rFonts w:ascii="Arial" w:hAnsi="Arial" w:cs="Arial"/>
          <w:color w:val="auto"/>
          <w:sz w:val="22"/>
          <w:szCs w:val="22"/>
          <w:lang w:val="pt-BR"/>
        </w:rPr>
        <w:t>Carvalho (2020), quando inoculado o capim-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zuri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com a estirpe CCTB 03 de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, o que resultou em um aumento de 7% no acúmulo de massa seca em comparação com os demais tratamentos. O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nitrogênio na massa de forragem,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também foi para o T2 com 26,94 g</w:t>
      </w:r>
      <w:r w:rsidR="004C1574">
        <w:rPr>
          <w:rFonts w:ascii="Arial" w:hAnsi="Arial" w:cs="Arial"/>
          <w:color w:val="auto"/>
          <w:sz w:val="22"/>
          <w:szCs w:val="22"/>
          <w:lang w:val="pt-BR"/>
        </w:rPr>
        <w:t xml:space="preserve"> k</w:t>
      </w:r>
      <w:r>
        <w:rPr>
          <w:rFonts w:ascii="Arial" w:hAnsi="Arial" w:cs="Arial"/>
          <w:color w:val="auto"/>
          <w:sz w:val="22"/>
          <w:szCs w:val="22"/>
          <w:lang w:val="pt-BR"/>
        </w:rPr>
        <w:t>g</w:t>
      </w:r>
      <w:r w:rsidR="004C1574" w:rsidRPr="004C1574"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de forragem, estatisticamente igual a T5, com 25,16 g</w:t>
      </w:r>
      <w:r w:rsidR="001F1568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t-BR"/>
        </w:rPr>
        <w:t>kg</w:t>
      </w:r>
      <w:r w:rsidR="001F1568" w:rsidRPr="004C1574"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. Na porcentagem de proteína na massa de forragem, o T2 resultou em 15,10% e T5 em 14,10. Por fim, o </w:t>
      </w:r>
      <w:proofErr w:type="spellStart"/>
      <w:r w:rsidR="00D56D0F">
        <w:rPr>
          <w:rFonts w:ascii="Arial" w:hAnsi="Arial" w:cs="Arial"/>
          <w:color w:val="auto"/>
          <w:sz w:val="22"/>
          <w:szCs w:val="22"/>
          <w:lang w:val="pt-BR"/>
        </w:rPr>
        <w:t>T</w:t>
      </w:r>
      <w:r>
        <w:rPr>
          <w:rFonts w:ascii="Arial" w:hAnsi="Arial" w:cs="Arial"/>
          <w:color w:val="auto"/>
          <w:sz w:val="22"/>
          <w:szCs w:val="22"/>
          <w:lang w:val="pt-BR"/>
        </w:rPr>
        <w:t>ifton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85 adubado com 100% do N (T</w:t>
      </w:r>
      <w:r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2) proporcionou valores de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354,90 </w:t>
      </w:r>
      <w:r w:rsidR="00805521">
        <w:rPr>
          <w:rFonts w:ascii="Arial" w:hAnsi="Arial" w:cs="Arial"/>
          <w:bCs/>
          <w:color w:val="auto"/>
          <w:sz w:val="22"/>
          <w:szCs w:val="22"/>
          <w:lang w:val="pt-BR"/>
        </w:rPr>
        <w:t>kg de N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 xml:space="preserve">-1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sendo, estatisticamente semelhante </w:t>
      </w:r>
      <w:r w:rsidR="001F1568"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às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parcelas que receberam a dose reduzida (25% do N) +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, com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279,05 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kg de N ha</w:t>
      </w:r>
      <w:r>
        <w:rPr>
          <w:rFonts w:ascii="Arial" w:hAnsi="Arial" w:cs="Arial"/>
          <w:bCs/>
          <w:color w:val="auto"/>
          <w:sz w:val="22"/>
          <w:szCs w:val="22"/>
          <w:vertAlign w:val="superscript"/>
          <w:lang w:val="pt-BR"/>
        </w:rPr>
        <w:t>-1</w:t>
      </w:r>
      <w:r>
        <w:rPr>
          <w:rFonts w:ascii="Arial" w:hAnsi="Arial" w:cs="Arial"/>
          <w:bCs/>
          <w:color w:val="auto"/>
          <w:sz w:val="22"/>
          <w:szCs w:val="22"/>
          <w:lang w:val="pt-BR"/>
        </w:rPr>
        <w:t>. Freitas (2022) também apresentou resultados promissores de acúmulo e concentração de nitrogênio em capim-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pt-BR"/>
        </w:rPr>
        <w:t>zuri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, quando inoculado com </w:t>
      </w:r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P.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+ 80 kg ha</w:t>
      </w:r>
      <w:r>
        <w:rPr>
          <w:rFonts w:ascii="Arial" w:hAnsi="Arial" w:cs="Arial"/>
          <w:color w:val="auto"/>
          <w:sz w:val="22"/>
          <w:szCs w:val="22"/>
          <w:vertAlign w:val="superscript"/>
          <w:lang w:val="pt-BR"/>
        </w:rPr>
        <w:t xml:space="preserve">-1 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de N. Atualmente, é notória a ausência de experimentos que abordem a inoculação com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nas pastagens de </w:t>
      </w:r>
      <w:proofErr w:type="spellStart"/>
      <w:r>
        <w:rPr>
          <w:rFonts w:ascii="Arial" w:hAnsi="Arial" w:cs="Arial"/>
          <w:color w:val="auto"/>
          <w:sz w:val="22"/>
          <w:szCs w:val="22"/>
          <w:lang w:val="pt-BR"/>
        </w:rPr>
        <w:t>Tifton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85. A predominância de estudos está centrada em espécies </w:t>
      </w:r>
      <w:r w:rsidR="001F1568">
        <w:rPr>
          <w:rFonts w:ascii="Arial" w:hAnsi="Arial" w:cs="Arial"/>
          <w:color w:val="auto"/>
          <w:sz w:val="22"/>
          <w:szCs w:val="22"/>
          <w:lang w:val="pt-BR"/>
        </w:rPr>
        <w:t>de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Brachiaria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, ressaltando o grande potencial desta bactéria em relação às pastagens. Além de aspectos científicos, as pesquisas podem trazer benefícios diretos economicamente para os produtores, uma vez que o custo estimado por hectare de inoculação com </w:t>
      </w:r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P.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 xml:space="preserve"> é de aproximadamente R$50,00 por hectare. Sendo assim, a inoculação torna-se uma prática financeiramente </w:t>
      </w:r>
      <w:r>
        <w:rPr>
          <w:rFonts w:ascii="Arial" w:hAnsi="Arial" w:cs="Arial"/>
          <w:color w:val="auto"/>
          <w:sz w:val="22"/>
          <w:szCs w:val="22"/>
          <w:lang w:val="pt-BR"/>
        </w:rPr>
        <w:lastRenderedPageBreak/>
        <w:t xml:space="preserve">atrativa, visto que o </w:t>
      </w:r>
      <w:r w:rsidR="001F1568">
        <w:rPr>
          <w:rFonts w:ascii="Arial" w:hAnsi="Arial" w:cs="Arial"/>
          <w:color w:val="auto"/>
          <w:sz w:val="22"/>
          <w:szCs w:val="22"/>
          <w:lang w:val="pt-BR"/>
        </w:rPr>
        <w:t xml:space="preserve">N </w:t>
      </w:r>
      <w:r>
        <w:rPr>
          <w:rFonts w:ascii="Arial" w:hAnsi="Arial" w:cs="Arial"/>
          <w:color w:val="auto"/>
          <w:sz w:val="22"/>
          <w:szCs w:val="22"/>
          <w:lang w:val="pt-BR"/>
        </w:rPr>
        <w:t>é um dos insumos mais caros para a produção. No presente estudo, foi possível reduzir mais de R$300,00 por hectare, considerando-se que a adubação nitrogenada foi reduzida em 75%.</w:t>
      </w:r>
    </w:p>
    <w:p w:rsidR="00C167A5" w:rsidRPr="001F1568" w:rsidRDefault="00564934">
      <w:pPr>
        <w:pStyle w:val="LO-normal"/>
        <w:jc w:val="both"/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</w:pPr>
      <w:r w:rsidRPr="001F1568"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  <w:t>Tabela 1. Massa de forragem verde e seca, proteína e teores de</w:t>
      </w:r>
      <w:r w:rsidR="00D56D0F" w:rsidRPr="001F1568"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  <w:t xml:space="preserve"> nitrogênio de pastos de </w:t>
      </w:r>
      <w:proofErr w:type="spellStart"/>
      <w:r w:rsidR="00D56D0F" w:rsidRPr="001F1568"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  <w:t>T</w:t>
      </w:r>
      <w:r w:rsidRPr="001F1568"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  <w:t>ifton</w:t>
      </w:r>
      <w:proofErr w:type="spellEnd"/>
      <w:r w:rsidRPr="001F1568">
        <w:rPr>
          <w:rFonts w:ascii="Arial" w:hAnsi="Arial" w:cs="Arial"/>
          <w:b/>
          <w:color w:val="auto"/>
          <w:sz w:val="22"/>
          <w:szCs w:val="22"/>
          <w:u w:color="000000"/>
          <w:lang w:val="pt-BR"/>
        </w:rPr>
        <w:t xml:space="preserve"> 85 inoculados com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brasiliense </w:t>
      </w:r>
      <w:r>
        <w:rPr>
          <w:rFonts w:ascii="Arial" w:hAnsi="Arial" w:cs="Arial"/>
          <w:color w:val="auto"/>
          <w:sz w:val="22"/>
          <w:szCs w:val="22"/>
          <w:lang w:val="pt-BR"/>
        </w:rPr>
        <w:t>e</w:t>
      </w:r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tbl>
      <w:tblPr>
        <w:tblStyle w:val="Tabelacomgrade"/>
        <w:tblW w:w="9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380"/>
        <w:gridCol w:w="1704"/>
        <w:gridCol w:w="1453"/>
        <w:gridCol w:w="1353"/>
        <w:gridCol w:w="1546"/>
      </w:tblGrid>
      <w:tr w:rsidR="00C167A5" w:rsidTr="00805521">
        <w:trPr>
          <w:trHeight w:val="916"/>
          <w:jc w:val="center"/>
        </w:trPr>
        <w:tc>
          <w:tcPr>
            <w:tcW w:w="1844" w:type="dxa"/>
            <w:tcBorders>
              <w:left w:val="nil"/>
              <w:right w:val="nil"/>
            </w:tcBorders>
            <w:vAlign w:val="center"/>
          </w:tcPr>
          <w:p w:rsidR="00C167A5" w:rsidRDefault="006847A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Tratamentos</w:t>
            </w:r>
            <w:proofErr w:type="spellEnd"/>
          </w:p>
        </w:tc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:rsidR="00C167A5" w:rsidRPr="001F1568" w:rsidRDefault="0056493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Massa verde de forragem (kg de MV ha</w:t>
            </w:r>
            <w:r w:rsidRPr="001F15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t-BR"/>
              </w:rPr>
              <w:t>-1</w:t>
            </w: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:rsidR="00C167A5" w:rsidRPr="001F1568" w:rsidRDefault="0056493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Massa seca de forragem (kg de MS ha</w:t>
            </w:r>
            <w:r w:rsidRPr="001F15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t-BR"/>
              </w:rPr>
              <w:t>-1</w:t>
            </w: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)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C167A5" w:rsidRPr="001F1568" w:rsidRDefault="0056493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Nitrogênio na massa de forragem (g/kg)</w:t>
            </w:r>
          </w:p>
        </w:tc>
        <w:tc>
          <w:tcPr>
            <w:tcW w:w="1353" w:type="dxa"/>
            <w:tcBorders>
              <w:left w:val="nil"/>
              <w:right w:val="nil"/>
            </w:tcBorders>
            <w:vAlign w:val="center"/>
          </w:tcPr>
          <w:p w:rsidR="00C167A5" w:rsidRPr="001F1568" w:rsidRDefault="0056493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F156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Proteína na massa de forragem (%)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Nitrogênio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acumulado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(kg ha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C167A5" w:rsidTr="00805521">
        <w:trPr>
          <w:trHeight w:val="231"/>
          <w:jc w:val="center"/>
        </w:trPr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4934">
              <w:rPr>
                <w:rFonts w:ascii="Arial" w:hAnsi="Arial" w:cs="Arial"/>
                <w:sz w:val="20"/>
                <w:szCs w:val="20"/>
              </w:rPr>
              <w:t>8.499,36 a</w:t>
            </w:r>
            <w:r w:rsidR="009B233E">
              <w:rPr>
                <w:rFonts w:ascii="Arial" w:hAnsi="Arial" w:cs="Arial"/>
                <w:sz w:val="20"/>
                <w:szCs w:val="20"/>
              </w:rPr>
              <w:t>b</w:t>
            </w:r>
            <w:r w:rsidR="005649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33E">
              <w:rPr>
                <w:rFonts w:ascii="Arial" w:hAnsi="Arial" w:cs="Arial"/>
                <w:sz w:val="20"/>
                <w:szCs w:val="20"/>
              </w:rPr>
              <w:t>1.874,74 ab</w:t>
            </w:r>
            <w:r w:rsidR="005649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21,27 ab*</w:t>
            </w:r>
          </w:p>
        </w:tc>
        <w:tc>
          <w:tcPr>
            <w:tcW w:w="1353" w:type="dxa"/>
            <w:tcBorders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11,93 ab</w:t>
            </w:r>
            <w:r w:rsidR="005649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ind w:left="847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B233E">
              <w:rPr>
                <w:rFonts w:ascii="Arial" w:hAnsi="Arial" w:cs="Arial"/>
                <w:sz w:val="20"/>
                <w:szCs w:val="20"/>
              </w:rPr>
              <w:t>189,79 ab</w:t>
            </w:r>
            <w:r w:rsidR="005649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167A5" w:rsidTr="00805521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233E">
              <w:rPr>
                <w:rFonts w:ascii="Arial" w:hAnsi="Arial" w:cs="Arial"/>
                <w:sz w:val="20"/>
                <w:szCs w:val="20"/>
              </w:rPr>
              <w:t>13.128,56 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97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3.036,13 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233E">
              <w:rPr>
                <w:rFonts w:ascii="Arial" w:hAnsi="Arial" w:cs="Arial"/>
                <w:sz w:val="20"/>
                <w:szCs w:val="20"/>
              </w:rPr>
              <w:t>26,94 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B233E">
              <w:rPr>
                <w:rFonts w:ascii="Arial" w:hAnsi="Arial" w:cs="Arial"/>
                <w:sz w:val="20"/>
                <w:szCs w:val="20"/>
              </w:rPr>
              <w:t>15,10 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233E">
              <w:rPr>
                <w:rFonts w:ascii="Arial" w:hAnsi="Arial" w:cs="Arial"/>
                <w:sz w:val="20"/>
                <w:szCs w:val="20"/>
              </w:rPr>
              <w:t>354,90 a</w:t>
            </w:r>
          </w:p>
        </w:tc>
      </w:tr>
      <w:tr w:rsidR="00C167A5" w:rsidTr="00805521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233E">
              <w:rPr>
                <w:rFonts w:ascii="Arial" w:hAnsi="Arial" w:cs="Arial"/>
                <w:sz w:val="20"/>
                <w:szCs w:val="20"/>
              </w:rPr>
              <w:t>7.887,12 ab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2.040,01 ab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9B2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24,10 ab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9B2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13,50 ab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ind w:left="492" w:hanging="4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33E">
              <w:rPr>
                <w:rFonts w:ascii="Arial" w:hAnsi="Arial" w:cs="Arial"/>
                <w:sz w:val="20"/>
                <w:szCs w:val="20"/>
              </w:rPr>
              <w:t>190,71 ab</w:t>
            </w:r>
          </w:p>
        </w:tc>
      </w:tr>
      <w:tr w:rsidR="00C167A5" w:rsidTr="00805521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233E">
              <w:rPr>
                <w:rFonts w:ascii="Arial" w:hAnsi="Arial" w:cs="Arial"/>
                <w:sz w:val="20"/>
                <w:szCs w:val="20"/>
              </w:rPr>
              <w:t>8.979,84 ab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2.232,31 ab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9B2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23,05 ab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9B2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12,91 ab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C167A5" w:rsidRDefault="00D56D0F">
            <w:pPr>
              <w:widowControl w:val="0"/>
              <w:ind w:left="492" w:hanging="4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33E">
              <w:rPr>
                <w:rFonts w:ascii="Arial" w:hAnsi="Arial" w:cs="Arial"/>
                <w:sz w:val="20"/>
                <w:szCs w:val="20"/>
              </w:rPr>
              <w:t>207,72 ab</w:t>
            </w:r>
          </w:p>
        </w:tc>
      </w:tr>
      <w:tr w:rsidR="00C167A5" w:rsidTr="00805521">
        <w:trPr>
          <w:trHeight w:val="85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7A5" w:rsidRPr="009B233E" w:rsidRDefault="005649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C167A5" w:rsidRPr="009B233E" w:rsidRDefault="00D56D0F" w:rsidP="00D56D0F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B233E"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11.027,92 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167A5" w:rsidRPr="009B233E" w:rsidRDefault="00D56D0F" w:rsidP="00D56D0F">
            <w:pPr>
              <w:widowControl w:val="0"/>
              <w:ind w:left="492" w:hanging="4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976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B233E"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2.664,41 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167A5" w:rsidRPr="009B233E" w:rsidRDefault="00D56D0F" w:rsidP="00D56D0F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9B233E"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25,16 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C167A5" w:rsidRPr="009B233E" w:rsidRDefault="00D56D0F" w:rsidP="00D56D0F">
            <w:pPr>
              <w:widowControl w:val="0"/>
              <w:ind w:left="492" w:hanging="4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9B233E"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14,10 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C167A5" w:rsidRPr="009B233E" w:rsidRDefault="00D56D0F" w:rsidP="00D56D0F">
            <w:pPr>
              <w:widowControl w:val="0"/>
              <w:ind w:left="492" w:hanging="4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9B233E" w:rsidRPr="009B23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279,05 a</w:t>
            </w:r>
          </w:p>
        </w:tc>
      </w:tr>
      <w:tr w:rsidR="00C167A5" w:rsidTr="00805521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T6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</w:tcPr>
          <w:p w:rsidR="00C167A5" w:rsidRDefault="00D56D0F" w:rsidP="00D56D0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233E">
              <w:rPr>
                <w:rFonts w:ascii="Arial" w:hAnsi="Arial" w:cs="Arial"/>
                <w:sz w:val="20"/>
                <w:szCs w:val="20"/>
              </w:rPr>
              <w:t>8.720,32 ab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167A5" w:rsidRDefault="00D56D0F">
            <w:pPr>
              <w:widowControl w:val="0"/>
              <w:ind w:left="492" w:hanging="4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3E">
              <w:rPr>
                <w:rFonts w:ascii="Arial" w:hAnsi="Arial" w:cs="Arial"/>
                <w:sz w:val="20"/>
                <w:szCs w:val="20"/>
              </w:rPr>
              <w:t>1.982,26 ab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</w:tcPr>
          <w:p w:rsidR="00C167A5" w:rsidRDefault="009B2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23,24 ab</w:t>
            </w: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</w:tcPr>
          <w:p w:rsidR="00C167A5" w:rsidRDefault="009B233E">
            <w:pPr>
              <w:widowControl w:val="0"/>
              <w:ind w:left="492" w:hanging="4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13,01 ab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C167A5" w:rsidRDefault="00D56D0F">
            <w:pPr>
              <w:widowControl w:val="0"/>
              <w:ind w:left="492" w:hanging="4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33E">
              <w:rPr>
                <w:rFonts w:ascii="Arial" w:hAnsi="Arial" w:cs="Arial"/>
                <w:sz w:val="20"/>
                <w:szCs w:val="20"/>
              </w:rPr>
              <w:t>204,97 ab</w:t>
            </w:r>
          </w:p>
        </w:tc>
      </w:tr>
      <w:tr w:rsidR="00C167A5" w:rsidTr="00805521">
        <w:trPr>
          <w:trHeight w:val="20"/>
          <w:jc w:val="center"/>
        </w:trPr>
        <w:tc>
          <w:tcPr>
            <w:tcW w:w="1844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CV%</w:t>
            </w:r>
          </w:p>
        </w:tc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23,72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9,28</w:t>
            </w:r>
          </w:p>
        </w:tc>
        <w:tc>
          <w:tcPr>
            <w:tcW w:w="1353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9,27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C167A5" w:rsidRDefault="0056493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29,15</w:t>
            </w:r>
          </w:p>
        </w:tc>
      </w:tr>
    </w:tbl>
    <w:p w:rsidR="00C167A5" w:rsidRPr="001F1568" w:rsidRDefault="00564934">
      <w:pPr>
        <w:jc w:val="both"/>
        <w:rPr>
          <w:rFonts w:ascii="Arial" w:hAnsi="Arial" w:cs="Arial"/>
          <w:sz w:val="20"/>
          <w:szCs w:val="16"/>
          <w:lang w:val="pt-BR"/>
        </w:rPr>
      </w:pPr>
      <w:r w:rsidRPr="001F1568">
        <w:rPr>
          <w:rFonts w:ascii="Arial" w:hAnsi="Arial" w:cs="Arial"/>
          <w:sz w:val="20"/>
          <w:szCs w:val="16"/>
          <w:lang w:val="pt-BR"/>
        </w:rPr>
        <w:t xml:space="preserve">Nota: *Valores </w:t>
      </w:r>
      <w:r w:rsidR="009B233E" w:rsidRPr="001F1568">
        <w:rPr>
          <w:rFonts w:ascii="Arial" w:hAnsi="Arial" w:cs="Arial"/>
          <w:sz w:val="20"/>
          <w:szCs w:val="16"/>
          <w:lang w:val="pt-BR"/>
        </w:rPr>
        <w:t xml:space="preserve">seguidos pelas mesmas letras </w:t>
      </w:r>
      <w:r w:rsidRPr="001F1568">
        <w:rPr>
          <w:rFonts w:ascii="Arial" w:hAnsi="Arial" w:cs="Arial"/>
          <w:sz w:val="20"/>
          <w:szCs w:val="16"/>
          <w:lang w:val="pt-BR"/>
        </w:rPr>
        <w:t>não diferem entre si pelo teste de Scott-</w:t>
      </w:r>
      <w:proofErr w:type="spellStart"/>
      <w:r w:rsidRPr="001F1568">
        <w:rPr>
          <w:rFonts w:ascii="Arial" w:hAnsi="Arial" w:cs="Arial"/>
          <w:sz w:val="20"/>
          <w:szCs w:val="16"/>
          <w:lang w:val="pt-BR"/>
        </w:rPr>
        <w:t>Knott</w:t>
      </w:r>
      <w:proofErr w:type="spellEnd"/>
      <w:r w:rsidRPr="001F1568">
        <w:rPr>
          <w:rFonts w:ascii="Arial" w:hAnsi="Arial" w:cs="Arial"/>
          <w:sz w:val="20"/>
          <w:szCs w:val="16"/>
          <w:lang w:val="pt-BR"/>
        </w:rPr>
        <w:t xml:space="preserve"> (</w:t>
      </w:r>
      <w:proofErr w:type="spellStart"/>
      <w:r w:rsidRPr="001F1568">
        <w:rPr>
          <w:rFonts w:ascii="Arial" w:hAnsi="Arial" w:cs="Arial"/>
          <w:sz w:val="20"/>
          <w:szCs w:val="16"/>
          <w:lang w:val="pt-BR"/>
        </w:rPr>
        <w:t>Pr</w:t>
      </w:r>
      <w:proofErr w:type="spellEnd"/>
      <w:r w:rsidRPr="001F1568">
        <w:rPr>
          <w:rFonts w:ascii="Arial" w:hAnsi="Arial" w:cs="Arial"/>
          <w:sz w:val="20"/>
          <w:szCs w:val="16"/>
          <w:lang w:val="pt-BR"/>
        </w:rPr>
        <w:t>&gt;</w:t>
      </w:r>
      <w:proofErr w:type="spellStart"/>
      <w:r w:rsidRPr="001F1568">
        <w:rPr>
          <w:rFonts w:ascii="Arial" w:hAnsi="Arial" w:cs="Arial"/>
          <w:sz w:val="20"/>
          <w:szCs w:val="16"/>
          <w:lang w:val="pt-BR"/>
        </w:rPr>
        <w:t>Fc</w:t>
      </w:r>
      <w:proofErr w:type="spellEnd"/>
      <w:r w:rsidRPr="001F1568">
        <w:rPr>
          <w:rFonts w:ascii="Arial" w:hAnsi="Arial" w:cs="Arial"/>
          <w:sz w:val="20"/>
          <w:szCs w:val="16"/>
          <w:lang w:val="pt-BR"/>
        </w:rPr>
        <w:t xml:space="preserve">=0,10). CV: coeficiente de variação. T1: Testemunha. T2: 100% N. T3: 25% N. T4: 25% N + </w:t>
      </w:r>
      <w:r w:rsidRPr="001F1568">
        <w:rPr>
          <w:rFonts w:ascii="Arial" w:hAnsi="Arial" w:cs="Arial"/>
          <w:i/>
          <w:sz w:val="20"/>
          <w:szCs w:val="16"/>
          <w:lang w:val="pt-BR"/>
        </w:rPr>
        <w:t>A</w:t>
      </w:r>
      <w:r w:rsidR="006847A8">
        <w:rPr>
          <w:rFonts w:ascii="Arial" w:hAnsi="Arial" w:cs="Arial"/>
          <w:i/>
          <w:sz w:val="20"/>
          <w:szCs w:val="16"/>
          <w:lang w:val="pt-BR"/>
        </w:rPr>
        <w:t xml:space="preserve">. </w:t>
      </w:r>
      <w:r w:rsidRPr="001F1568">
        <w:rPr>
          <w:rFonts w:ascii="Arial" w:hAnsi="Arial" w:cs="Arial"/>
          <w:i/>
          <w:sz w:val="20"/>
          <w:szCs w:val="16"/>
          <w:lang w:val="pt-BR"/>
        </w:rPr>
        <w:t>brasilense</w:t>
      </w:r>
      <w:r w:rsidRPr="001F1568">
        <w:rPr>
          <w:rFonts w:ascii="Arial" w:hAnsi="Arial" w:cs="Arial"/>
          <w:sz w:val="20"/>
          <w:szCs w:val="16"/>
          <w:lang w:val="pt-BR"/>
        </w:rPr>
        <w:t xml:space="preserve">. T5 25% N + </w:t>
      </w:r>
      <w:r w:rsidRPr="001F1568">
        <w:rPr>
          <w:rFonts w:ascii="Arial" w:hAnsi="Arial" w:cs="Arial"/>
          <w:i/>
          <w:sz w:val="20"/>
          <w:szCs w:val="16"/>
          <w:lang w:val="pt-BR"/>
        </w:rPr>
        <w:t>P</w:t>
      </w:r>
      <w:r w:rsidR="006847A8">
        <w:rPr>
          <w:rFonts w:ascii="Arial" w:hAnsi="Arial" w:cs="Arial"/>
          <w:i/>
          <w:sz w:val="20"/>
          <w:szCs w:val="16"/>
          <w:lang w:val="pt-BR"/>
        </w:rPr>
        <w:t xml:space="preserve">. </w:t>
      </w:r>
      <w:proofErr w:type="spellStart"/>
      <w:r w:rsidRPr="001F1568">
        <w:rPr>
          <w:rFonts w:ascii="Arial" w:hAnsi="Arial" w:cs="Arial"/>
          <w:i/>
          <w:sz w:val="20"/>
          <w:szCs w:val="16"/>
          <w:lang w:val="pt-BR"/>
        </w:rPr>
        <w:t>fluorescens</w:t>
      </w:r>
      <w:proofErr w:type="spellEnd"/>
      <w:r w:rsidRPr="001F1568">
        <w:rPr>
          <w:rFonts w:ascii="Arial" w:hAnsi="Arial" w:cs="Arial"/>
          <w:sz w:val="20"/>
          <w:szCs w:val="16"/>
          <w:lang w:val="pt-BR"/>
        </w:rPr>
        <w:t xml:space="preserve">. T6: 25% N + </w:t>
      </w:r>
      <w:r w:rsidRPr="001F1568">
        <w:rPr>
          <w:rFonts w:ascii="Arial" w:hAnsi="Arial" w:cs="Arial"/>
          <w:i/>
          <w:sz w:val="20"/>
          <w:szCs w:val="16"/>
          <w:lang w:val="pt-BR"/>
        </w:rPr>
        <w:t>A</w:t>
      </w:r>
      <w:r w:rsidR="006847A8">
        <w:rPr>
          <w:rFonts w:ascii="Arial" w:hAnsi="Arial" w:cs="Arial"/>
          <w:i/>
          <w:sz w:val="20"/>
          <w:szCs w:val="16"/>
          <w:lang w:val="pt-BR"/>
        </w:rPr>
        <w:t xml:space="preserve">. </w:t>
      </w:r>
      <w:r w:rsidRPr="001F1568">
        <w:rPr>
          <w:rFonts w:ascii="Arial" w:hAnsi="Arial" w:cs="Arial"/>
          <w:i/>
          <w:sz w:val="20"/>
          <w:szCs w:val="16"/>
          <w:lang w:val="pt-BR"/>
        </w:rPr>
        <w:t>brasilense</w:t>
      </w:r>
      <w:r w:rsidRPr="001F1568">
        <w:rPr>
          <w:rFonts w:ascii="Arial" w:hAnsi="Arial" w:cs="Arial"/>
          <w:sz w:val="20"/>
          <w:szCs w:val="16"/>
          <w:lang w:val="pt-BR"/>
        </w:rPr>
        <w:t xml:space="preserve"> + </w:t>
      </w:r>
      <w:r w:rsidRPr="001F1568">
        <w:rPr>
          <w:rFonts w:ascii="Arial" w:hAnsi="Arial" w:cs="Arial"/>
          <w:i/>
          <w:sz w:val="20"/>
          <w:szCs w:val="16"/>
          <w:lang w:val="pt-BR"/>
        </w:rPr>
        <w:t>P</w:t>
      </w:r>
      <w:r w:rsidR="006847A8">
        <w:rPr>
          <w:rFonts w:ascii="Arial" w:hAnsi="Arial" w:cs="Arial"/>
          <w:i/>
          <w:sz w:val="20"/>
          <w:szCs w:val="16"/>
          <w:lang w:val="pt-BR"/>
        </w:rPr>
        <w:t>.</w:t>
      </w:r>
      <w:r w:rsidRPr="001F1568">
        <w:rPr>
          <w:rFonts w:ascii="Arial" w:hAnsi="Arial" w:cs="Arial"/>
          <w:i/>
          <w:sz w:val="20"/>
          <w:szCs w:val="16"/>
          <w:lang w:val="pt-BR"/>
        </w:rPr>
        <w:t xml:space="preserve"> </w:t>
      </w:r>
      <w:proofErr w:type="spellStart"/>
      <w:r w:rsidRPr="001F1568">
        <w:rPr>
          <w:rFonts w:ascii="Arial" w:hAnsi="Arial" w:cs="Arial"/>
          <w:i/>
          <w:sz w:val="20"/>
          <w:szCs w:val="16"/>
          <w:lang w:val="pt-BR"/>
        </w:rPr>
        <w:t>fluorescens</w:t>
      </w:r>
      <w:proofErr w:type="spellEnd"/>
      <w:r w:rsidRPr="001F1568">
        <w:rPr>
          <w:rFonts w:ascii="Arial" w:hAnsi="Arial" w:cs="Arial"/>
          <w:sz w:val="20"/>
          <w:szCs w:val="16"/>
          <w:lang w:val="pt-BR"/>
        </w:rPr>
        <w:t>.</w:t>
      </w:r>
    </w:p>
    <w:p w:rsidR="00C167A5" w:rsidRPr="001F1568" w:rsidRDefault="00C167A5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C167A5" w:rsidRPr="001F1568" w:rsidRDefault="00564934">
      <w:pPr>
        <w:pStyle w:val="LO-normal"/>
        <w:jc w:val="both"/>
        <w:rPr>
          <w:rFonts w:ascii="Arial" w:hAnsi="Arial" w:cs="Arial"/>
          <w:iCs/>
          <w:color w:val="auto"/>
          <w:sz w:val="22"/>
          <w:szCs w:val="22"/>
          <w:lang w:val="pt-BR"/>
        </w:rPr>
      </w:pPr>
      <w:r w:rsidRPr="001F1568">
        <w:rPr>
          <w:rFonts w:ascii="Arial" w:hAnsi="Arial" w:cs="Arial"/>
          <w:b/>
          <w:bCs/>
          <w:color w:val="auto"/>
          <w:sz w:val="22"/>
          <w:szCs w:val="22"/>
          <w:u w:color="000000"/>
          <w:lang w:val="pt-BR"/>
        </w:rPr>
        <w:t>Conclusão</w:t>
      </w:r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: A utilização de </w:t>
      </w:r>
      <w:proofErr w:type="spellStart"/>
      <w:r w:rsidRPr="001F1568">
        <w:rPr>
          <w:rFonts w:ascii="Arial" w:hAnsi="Arial" w:cs="Arial"/>
          <w:i/>
          <w:color w:val="auto"/>
          <w:sz w:val="22"/>
          <w:szCs w:val="22"/>
          <w:lang w:val="pt-BR"/>
        </w:rPr>
        <w:t>Pseudomonas</w:t>
      </w:r>
      <w:proofErr w:type="spellEnd"/>
      <w:r w:rsidRPr="001F1568"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proofErr w:type="spellStart"/>
      <w:r w:rsidRPr="001F1568">
        <w:rPr>
          <w:rFonts w:ascii="Arial" w:hAnsi="Arial" w:cs="Arial"/>
          <w:i/>
          <w:color w:val="auto"/>
          <w:sz w:val="22"/>
          <w:szCs w:val="22"/>
          <w:lang w:val="pt-BR"/>
        </w:rPr>
        <w:t>fluorescens</w:t>
      </w:r>
      <w:proofErr w:type="spellEnd"/>
      <w:r w:rsidRPr="001F1568">
        <w:rPr>
          <w:rFonts w:ascii="Arial" w:hAnsi="Arial" w:cs="Arial"/>
          <w:i/>
          <w:color w:val="auto"/>
          <w:sz w:val="22"/>
          <w:szCs w:val="22"/>
          <w:lang w:val="pt-BR"/>
        </w:rPr>
        <w:t xml:space="preserve"> </w:t>
      </w:r>
      <w:r w:rsidRPr="001F1568">
        <w:rPr>
          <w:rFonts w:ascii="Arial" w:hAnsi="Arial" w:cs="Arial"/>
          <w:iCs/>
          <w:color w:val="auto"/>
          <w:sz w:val="22"/>
          <w:szCs w:val="22"/>
          <w:lang w:val="pt-BR"/>
        </w:rPr>
        <w:t xml:space="preserve">permite reduzir em 75% a adubação nitrogenada em pastagens de </w:t>
      </w:r>
      <w:proofErr w:type="spellStart"/>
      <w:r w:rsidRPr="001F1568">
        <w:rPr>
          <w:rFonts w:ascii="Arial" w:hAnsi="Arial" w:cs="Arial"/>
          <w:iCs/>
          <w:color w:val="auto"/>
          <w:sz w:val="22"/>
          <w:szCs w:val="22"/>
          <w:lang w:val="pt-BR"/>
        </w:rPr>
        <w:t>tifton</w:t>
      </w:r>
      <w:proofErr w:type="spellEnd"/>
      <w:r w:rsidRPr="001F1568">
        <w:rPr>
          <w:rFonts w:ascii="Arial" w:hAnsi="Arial" w:cs="Arial"/>
          <w:iCs/>
          <w:color w:val="auto"/>
          <w:sz w:val="22"/>
          <w:szCs w:val="22"/>
          <w:lang w:val="pt-BR"/>
        </w:rPr>
        <w:t xml:space="preserve"> 85, mantendo os mesmos níveis de produção de forragem.</w:t>
      </w:r>
    </w:p>
    <w:p w:rsidR="006B3375" w:rsidRPr="001F1568" w:rsidRDefault="006B3375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:rsidR="00C167A5" w:rsidRPr="001F1568" w:rsidRDefault="00564934">
      <w:pPr>
        <w:pStyle w:val="LO-normal"/>
        <w:jc w:val="both"/>
        <w:rPr>
          <w:rFonts w:ascii="Arial" w:hAnsi="Arial" w:cs="Arial"/>
          <w:color w:val="auto"/>
          <w:sz w:val="22"/>
          <w:szCs w:val="22"/>
          <w:u w:color="000000"/>
          <w:lang w:val="pt-BR"/>
        </w:rPr>
      </w:pPr>
      <w:r w:rsidRPr="001F1568">
        <w:rPr>
          <w:rFonts w:ascii="Arial" w:hAnsi="Arial"/>
          <w:b/>
          <w:bCs/>
          <w:color w:val="auto"/>
          <w:sz w:val="22"/>
          <w:szCs w:val="22"/>
          <w:u w:color="000000"/>
          <w:lang w:val="pt-BR"/>
        </w:rPr>
        <w:t xml:space="preserve">Agradecimento: </w:t>
      </w:r>
      <w:r w:rsidRPr="001F1568">
        <w:rPr>
          <w:rFonts w:ascii="Arial" w:hAnsi="Arial" w:cs="Arial"/>
          <w:color w:val="auto"/>
          <w:sz w:val="22"/>
          <w:szCs w:val="22"/>
          <w:lang w:val="pt-BR"/>
        </w:rPr>
        <w:t>EMBRAPA Soja</w:t>
      </w:r>
      <w:r w:rsidR="005300A1">
        <w:rPr>
          <w:rFonts w:ascii="Arial" w:hAnsi="Arial" w:cs="Arial"/>
          <w:color w:val="auto"/>
          <w:sz w:val="22"/>
          <w:szCs w:val="22"/>
          <w:lang w:val="pt-BR"/>
        </w:rPr>
        <w:t>,</w:t>
      </w:r>
      <w:r w:rsidRPr="001F1568">
        <w:rPr>
          <w:rFonts w:ascii="Arial" w:hAnsi="Arial" w:cs="Arial"/>
          <w:color w:val="auto"/>
          <w:sz w:val="22"/>
          <w:szCs w:val="22"/>
          <w:lang w:val="pt-BR"/>
        </w:rPr>
        <w:t xml:space="preserve"> Instituto Nacional de Ciência e Tecnologia em Microrganismos Promotores de Crescimento de Plantas (INCT-MPCP-AGRO)</w:t>
      </w:r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 xml:space="preserve">, Fazenda Irmãos </w:t>
      </w:r>
      <w:proofErr w:type="spellStart"/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>Gemelli</w:t>
      </w:r>
      <w:proofErr w:type="spellEnd"/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>, integrantes do Grupo de Pesquisa em Microbiologia (</w:t>
      </w:r>
      <w:proofErr w:type="spellStart"/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>GMicro</w:t>
      </w:r>
      <w:proofErr w:type="spellEnd"/>
      <w:r w:rsidRPr="001F1568">
        <w:rPr>
          <w:rFonts w:ascii="Arial" w:hAnsi="Arial" w:cs="Arial"/>
          <w:color w:val="auto"/>
          <w:sz w:val="22"/>
          <w:szCs w:val="22"/>
          <w:u w:color="000000"/>
          <w:lang w:val="pt-BR"/>
        </w:rPr>
        <w:t>).</w:t>
      </w:r>
    </w:p>
    <w:p w:rsidR="00C167A5" w:rsidRPr="001F1568" w:rsidRDefault="00C167A5">
      <w:pPr>
        <w:pStyle w:val="LO-normal"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color="000000"/>
          <w:lang w:val="pt-BR"/>
        </w:rPr>
      </w:pPr>
    </w:p>
    <w:p w:rsidR="00C167A5" w:rsidRPr="001F1568" w:rsidRDefault="00564934">
      <w:pPr>
        <w:pStyle w:val="LO-normal"/>
        <w:jc w:val="both"/>
        <w:rPr>
          <w:rFonts w:ascii="Arial" w:hAnsi="Arial"/>
          <w:color w:val="auto"/>
          <w:sz w:val="22"/>
          <w:szCs w:val="22"/>
          <w:u w:color="000000"/>
          <w:lang w:val="pt-BR"/>
        </w:rPr>
      </w:pPr>
      <w:r w:rsidRPr="001F1568">
        <w:rPr>
          <w:rFonts w:ascii="Arial" w:hAnsi="Arial"/>
          <w:b/>
          <w:bCs/>
          <w:color w:val="auto"/>
          <w:sz w:val="22"/>
          <w:szCs w:val="22"/>
          <w:u w:color="000000"/>
          <w:lang w:val="pt-BR"/>
        </w:rPr>
        <w:t xml:space="preserve">Referências: </w:t>
      </w:r>
    </w:p>
    <w:p w:rsidR="00C167A5" w:rsidRPr="001F1568" w:rsidRDefault="00564934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CARVALHO, Caroline Lopes Monteiro de. Inoculação com bactérias promotoras do crescimento no acúmulo de nutrientes, produção de massa seca e composição </w:t>
      </w:r>
      <w:proofErr w:type="spellStart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bromatológica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do capim </w:t>
      </w:r>
      <w:proofErr w:type="spellStart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zuri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(</w:t>
      </w:r>
      <w:proofErr w:type="spellStart"/>
      <w:r w:rsidRPr="001F1568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>megathyrsus</w:t>
      </w:r>
      <w:proofErr w:type="spellEnd"/>
      <w:r w:rsidRPr="001F1568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1F1568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>maximus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).2022. 73 f. Dissertação (MESTRADO). Universidade Estadual Paulista (Unesp). Dracena, SP. 2020.</w:t>
      </w:r>
    </w:p>
    <w:p w:rsidR="00C167A5" w:rsidRPr="001F1568" w:rsidRDefault="00C167A5">
      <w:pPr>
        <w:pStyle w:val="LO-normal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:rsidR="00C167A5" w:rsidRPr="001F1568" w:rsidRDefault="00564934">
      <w:pPr>
        <w:pStyle w:val="LO-normal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  <w:lang w:val="pt-BR"/>
        </w:rPr>
      </w:pPr>
      <w:r w:rsidRPr="001F156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CEPEA. </w:t>
      </w:r>
      <w:r w:rsidRPr="00E355D2"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lang w:val="pt-BR"/>
        </w:rPr>
        <w:t xml:space="preserve">PIB do </w:t>
      </w:r>
      <w:proofErr w:type="spellStart"/>
      <w:r w:rsidRPr="00E355D2"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lang w:val="pt-BR"/>
        </w:rPr>
        <w:t>agonegócio</w:t>
      </w:r>
      <w:proofErr w:type="spellEnd"/>
      <w:r w:rsidRPr="00E355D2"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  <w:lang w:val="pt-BR"/>
        </w:rPr>
        <w:t xml:space="preserve"> brasileiro</w:t>
      </w:r>
      <w:r w:rsidRPr="00E355D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pt-BR"/>
        </w:rPr>
        <w:t xml:space="preserve">. </w:t>
      </w:r>
      <w:r w:rsidRPr="00E355D2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2023. Disponível em: </w:t>
      </w:r>
      <w:hyperlink r:id="rId6" w:anchor=":~:text=Cepea%2C 17%2F03%2F2023,4%2C22%25 em 2022" w:history="1">
        <w:r w:rsidRPr="00E355D2">
          <w:rPr>
            <w:rStyle w:val="LinkdaInternet"/>
            <w:rFonts w:ascii="Arial" w:hAnsi="Arial" w:cs="Arial"/>
            <w:color w:val="000000"/>
            <w:sz w:val="22"/>
            <w:szCs w:val="22"/>
            <w:u w:val="none"/>
            <w:shd w:val="clear" w:color="auto" w:fill="FFFFFF"/>
            <w:lang w:val="pt-BR"/>
          </w:rPr>
          <w:t>https://www.cepea.esalq.usp.br/br/pib-do-agronegocio brasileiro.aspx#:~:text=Cepea%2C%2017%2F03%2F2023,4%2C22%25%20em%202022</w:t>
        </w:r>
      </w:hyperlink>
      <w:r w:rsidRPr="00E355D2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. </w:t>
      </w:r>
      <w:r w:rsidRPr="001F1568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Acesso em: 15 set. 2022.</w:t>
      </w:r>
    </w:p>
    <w:p w:rsidR="00C167A5" w:rsidRPr="001F1568" w:rsidRDefault="00C167A5">
      <w:pPr>
        <w:pStyle w:val="LO-normal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  <w:lang w:val="pt-BR"/>
        </w:rPr>
      </w:pPr>
    </w:p>
    <w:p w:rsidR="00C167A5" w:rsidRDefault="0056493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FAGUNDES, J. L.; MOREIRA, A. L.; FREITAS, A. W. De P.; ZONTA, A.; HEINRICHS, R.; ROCHA, F. C.; BACKES, A. A.; VIEIRA, J. S. Capacidade de suporte de pastagens de capim-</w:t>
      </w:r>
      <w:proofErr w:type="spellStart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tifton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85 adubado com nitrogênio manejadas em lotação contínua com ovinos.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Revista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Brasileira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Zootecnia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, v. 40, n. 12, p. 2651–2657, 2011.</w:t>
      </w:r>
    </w:p>
    <w:p w:rsidR="00C167A5" w:rsidRDefault="00C167A5">
      <w:pPr>
        <w:jc w:val="both"/>
        <w:rPr>
          <w:rFonts w:ascii="Arial" w:hAnsi="Arial" w:cs="Arial"/>
          <w:sz w:val="22"/>
          <w:szCs w:val="22"/>
        </w:rPr>
      </w:pPr>
    </w:p>
    <w:p w:rsidR="00C167A5" w:rsidRPr="00E355D2" w:rsidRDefault="00564934" w:rsidP="00AB4D56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>FREITAS, Gabriela da Silva. Inoculação foliar com bactérias promotoras do crescimento de plantas assoc</w:t>
      </w:r>
      <w:r w:rsidR="005300A1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iadas a doses de nitrogênio em </w:t>
      </w:r>
      <w:proofErr w:type="spellStart"/>
      <w:r w:rsidR="005300A1" w:rsidRPr="005300A1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>M</w:t>
      </w:r>
      <w:r w:rsidRPr="005300A1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>egathyrsus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5300A1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>maximus</w:t>
      </w:r>
      <w:proofErr w:type="spellEnd"/>
      <w:r w:rsidRPr="001F1568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cv. </w:t>
      </w:r>
      <w:proofErr w:type="spellStart"/>
      <w:r w:rsidRPr="00E355D2">
        <w:rPr>
          <w:rFonts w:ascii="Arial" w:hAnsi="Arial" w:cs="Arial"/>
          <w:sz w:val="22"/>
          <w:szCs w:val="22"/>
          <w:shd w:val="clear" w:color="auto" w:fill="FFFFFF"/>
          <w:lang w:val="pt-BR"/>
        </w:rPr>
        <w:t>Brs</w:t>
      </w:r>
      <w:proofErr w:type="spellEnd"/>
      <w:r w:rsidRPr="00E355D2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E355D2">
        <w:rPr>
          <w:rFonts w:ascii="Arial" w:hAnsi="Arial" w:cs="Arial"/>
          <w:sz w:val="22"/>
          <w:szCs w:val="22"/>
          <w:shd w:val="clear" w:color="auto" w:fill="FFFFFF"/>
          <w:lang w:val="pt-BR"/>
        </w:rPr>
        <w:t>zuri</w:t>
      </w:r>
      <w:proofErr w:type="spellEnd"/>
      <w:r w:rsidRPr="00E355D2">
        <w:rPr>
          <w:rFonts w:ascii="Arial" w:hAnsi="Arial" w:cs="Arial"/>
          <w:sz w:val="22"/>
          <w:szCs w:val="22"/>
          <w:shd w:val="clear" w:color="auto" w:fill="FFFFFF"/>
          <w:lang w:val="pt-BR"/>
        </w:rPr>
        <w:t>. 2022. 69 f. Dissertação (MESTRADO). Universidade Estadual Paulista (Unesp). Dracena, SP. 2022.</w:t>
      </w:r>
    </w:p>
    <w:p w:rsidR="00AB4D56" w:rsidRPr="00E355D2" w:rsidRDefault="00AB4D56" w:rsidP="00AB4D56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C167A5" w:rsidRDefault="0056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HUNGRIA, M.; RONDINA, A. B. L.; NUNES, A. L. P.; ARAUJO, R. S.; NOGUEIRA, M. A.: Seed and leaf-spray inoculation of PGPR in </w:t>
      </w:r>
      <w:proofErr w:type="spellStart"/>
      <w:r>
        <w:rPr>
          <w:rFonts w:ascii="Arial" w:hAnsi="Arial" w:cs="Arial"/>
          <w:sz w:val="22"/>
          <w:szCs w:val="22"/>
        </w:rPr>
        <w:t>brachiarias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sz w:val="22"/>
          <w:szCs w:val="22"/>
        </w:rPr>
        <w:t>Urochloa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spp.) as an economic and environmental opportunity to improve plant growth, forage yield and nutrient status. v.463, p.171–186, 2021. </w:t>
      </w:r>
    </w:p>
    <w:p w:rsidR="00C167A5" w:rsidRDefault="00C167A5">
      <w:pPr>
        <w:jc w:val="both"/>
        <w:rPr>
          <w:rStyle w:val="LinkdaInternet"/>
          <w:rFonts w:ascii="Arial" w:hAnsi="Arial" w:cs="Arial"/>
          <w:sz w:val="22"/>
          <w:szCs w:val="22"/>
        </w:rPr>
      </w:pPr>
    </w:p>
    <w:p w:rsidR="00C167A5" w:rsidRPr="001F1568" w:rsidRDefault="0056493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1F1568">
        <w:rPr>
          <w:rFonts w:ascii="Arial" w:hAnsi="Arial" w:cs="Arial"/>
          <w:sz w:val="22"/>
          <w:szCs w:val="22"/>
          <w:lang w:val="pt-BR"/>
        </w:rPr>
        <w:t>TEDESCO, M. J.; GIANELLO, C.; BISSANI, C. A.; BOHNEN, H.; VOLKWEISS, S. J. Análises de Solo, Plantas e Outros Minerais. Departamento de Solos da Universidade Federal do Rio Grande do Sul, Porto Alegre. n. 5, ed. 2, 174p, 1995.</w:t>
      </w:r>
    </w:p>
    <w:sectPr w:rsidR="00C167A5" w:rsidRPr="001F1568">
      <w:headerReference w:type="default" r:id="rId7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B1" w:rsidRDefault="00B652B1">
      <w:r>
        <w:separator/>
      </w:r>
    </w:p>
  </w:endnote>
  <w:endnote w:type="continuationSeparator" w:id="0">
    <w:p w:rsidR="00B652B1" w:rsidRDefault="00B6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B1" w:rsidRDefault="00B652B1">
      <w:r>
        <w:separator/>
      </w:r>
    </w:p>
  </w:footnote>
  <w:footnote w:type="continuationSeparator" w:id="0">
    <w:p w:rsidR="00B652B1" w:rsidRDefault="00B6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7A5" w:rsidRDefault="00564934">
    <w:pPr>
      <w:pStyle w:val="LO-normal"/>
    </w:pPr>
    <w:r>
      <w:rPr>
        <w:noProof/>
        <w:lang w:val="pt-BR"/>
      </w:rPr>
      <w:drawing>
        <wp:anchor distT="0" distB="152400" distL="152400" distR="152400" simplePos="0" relativeHeight="4" behindDoc="1" locked="0" layoutInCell="0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115060"/>
          <wp:effectExtent l="0" t="0" r="0" b="0"/>
          <wp:wrapTopAndBottom/>
          <wp:docPr id="1" name="officeArt object" descr="Cabeçalho SBS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Cabeçalho SBSS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1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A5"/>
    <w:rsid w:val="001F1568"/>
    <w:rsid w:val="00324DC3"/>
    <w:rsid w:val="00337C06"/>
    <w:rsid w:val="004344A7"/>
    <w:rsid w:val="004C1574"/>
    <w:rsid w:val="005300A1"/>
    <w:rsid w:val="00564934"/>
    <w:rsid w:val="006847A8"/>
    <w:rsid w:val="006B3375"/>
    <w:rsid w:val="00805521"/>
    <w:rsid w:val="00921D51"/>
    <w:rsid w:val="009B233E"/>
    <w:rsid w:val="00AB4D56"/>
    <w:rsid w:val="00B652B1"/>
    <w:rsid w:val="00B944AC"/>
    <w:rsid w:val="00B97648"/>
    <w:rsid w:val="00C167A5"/>
    <w:rsid w:val="00C36ABF"/>
    <w:rsid w:val="00D036B3"/>
    <w:rsid w:val="00D56D0F"/>
    <w:rsid w:val="00DF3032"/>
    <w:rsid w:val="00E26557"/>
    <w:rsid w:val="00E3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925E8"/>
  <w15:docId w15:val="{17CFB1BA-9386-454F-BBF4-FA00165C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Ttulo4">
    <w:name w:val="heading 4"/>
    <w:next w:val="Normal"/>
    <w:link w:val="Ttulo4Char"/>
    <w:uiPriority w:val="9"/>
    <w:unhideWhenUsed/>
    <w:qFormat/>
    <w:rsid w:val="00D67195"/>
    <w:pPr>
      <w:keepNext/>
      <w:keepLines/>
      <w:spacing w:line="360" w:lineRule="auto"/>
      <w:jc w:val="center"/>
      <w:outlineLvl w:val="3"/>
    </w:pPr>
    <w:rPr>
      <w:rFonts w:eastAsia="Times New Roman"/>
      <w:b/>
      <w:color w:val="000000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D67195"/>
    <w:rPr>
      <w:rFonts w:eastAsia="Times New Roman"/>
      <w:b/>
      <w:color w:val="000000"/>
      <w:sz w:val="24"/>
      <w:szCs w:val="22"/>
    </w:rPr>
  </w:style>
  <w:style w:type="character" w:styleId="Forte">
    <w:name w:val="Strong"/>
    <w:basedOn w:val="Fontepargpadro"/>
    <w:uiPriority w:val="22"/>
    <w:qFormat/>
    <w:rsid w:val="004D3F6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7676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CB7676"/>
    <w:rPr>
      <w:sz w:val="24"/>
      <w:szCs w:val="24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57796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5513"/>
    <w:rPr>
      <w:rFonts w:ascii="Tahoma" w:hAnsi="Tahoma" w:cs="Tahoma"/>
      <w:sz w:val="16"/>
      <w:szCs w:val="16"/>
      <w:lang w:val="en-US" w:eastAsia="en-US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CB76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B7676"/>
    <w:pPr>
      <w:tabs>
        <w:tab w:val="center" w:pos="4252"/>
        <w:tab w:val="right" w:pos="8504"/>
      </w:tabs>
    </w:pPr>
  </w:style>
  <w:style w:type="paragraph" w:styleId="Reviso">
    <w:name w:val="Revision"/>
    <w:uiPriority w:val="99"/>
    <w:semiHidden/>
    <w:qFormat/>
    <w:rsid w:val="00CE25B9"/>
    <w:rPr>
      <w:sz w:val="24"/>
      <w:szCs w:val="24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5779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5513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4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pea.esalq.usp.br/br/pib-do-agronegocio%20brasileiro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1772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Tatiele Baroncello</dc:creator>
  <cp:keywords/>
  <dc:description/>
  <cp:lastModifiedBy>Tatiele Baroncello</cp:lastModifiedBy>
  <cp:revision>2</cp:revision>
  <cp:lastPrinted>2023-09-27T23:03:00Z</cp:lastPrinted>
  <dcterms:created xsi:type="dcterms:W3CDTF">2023-10-18T00:37:00Z</dcterms:created>
  <dcterms:modified xsi:type="dcterms:W3CDTF">2023-10-18T00:37:00Z</dcterms:modified>
  <dc:language>pt-BR</dc:language>
</cp:coreProperties>
</file>