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AC4F" w14:textId="360CEEAB" w:rsidR="003077DC" w:rsidRPr="007F1054" w:rsidRDefault="003077DC" w:rsidP="003077DC">
      <w:pPr>
        <w:jc w:val="center"/>
        <w:rPr>
          <w:rFonts w:ascii="Arial" w:hAnsi="Arial" w:cs="Arial"/>
          <w:sz w:val="28"/>
          <w:szCs w:val="28"/>
        </w:rPr>
      </w:pPr>
      <w:bookmarkStart w:id="0" w:name="_Hlk146578450"/>
      <w:r w:rsidRPr="007F1054">
        <w:rPr>
          <w:rFonts w:ascii="Arial" w:hAnsi="Arial" w:cs="Arial"/>
          <w:b/>
          <w:sz w:val="28"/>
          <w:szCs w:val="28"/>
        </w:rPr>
        <w:t xml:space="preserve">EFICIÊNCIA DE REGENERADORES DE SOLO E PROMOTORES DE DESENVOLVIMENTO DA RIZOSFERA </w:t>
      </w:r>
      <w:r w:rsidR="003142E6" w:rsidRPr="007F1054">
        <w:rPr>
          <w:rFonts w:ascii="Arial" w:hAnsi="Arial" w:cs="Arial"/>
          <w:b/>
          <w:sz w:val="28"/>
          <w:szCs w:val="28"/>
        </w:rPr>
        <w:t>NA AVEIA PRETA</w:t>
      </w:r>
    </w:p>
    <w:p w14:paraId="4E620726" w14:textId="77777777" w:rsidR="003077DC" w:rsidRDefault="003077DC" w:rsidP="003077DC">
      <w:pPr>
        <w:pStyle w:val="LO-normal"/>
        <w:ind w:right="284"/>
        <w:jc w:val="center"/>
        <w:rPr>
          <w:rFonts w:ascii="Arial" w:eastAsia="Arial" w:hAnsi="Arial" w:cs="Arial"/>
          <w:noProof/>
          <w:color w:val="000000"/>
          <w:sz w:val="28"/>
          <w:szCs w:val="28"/>
          <w:u w:color="000000"/>
          <w:lang w:val="pt-BR"/>
        </w:rPr>
      </w:pPr>
    </w:p>
    <w:p w14:paraId="4F140272" w14:textId="77777777" w:rsidR="00A02788" w:rsidRPr="007F1054" w:rsidRDefault="00A02788" w:rsidP="00A02788">
      <w:pPr>
        <w:pStyle w:val="LO-normal"/>
        <w:ind w:right="284"/>
        <w:jc w:val="center"/>
        <w:rPr>
          <w:rFonts w:ascii="Arial" w:hAnsi="Arial"/>
          <w:noProof/>
          <w:color w:val="000000"/>
          <w:sz w:val="20"/>
          <w:szCs w:val="20"/>
          <w:u w:color="000000"/>
          <w:vertAlign w:val="superscript"/>
          <w:lang w:val="pt-BR"/>
        </w:rPr>
      </w:pPr>
      <w:r w:rsidRPr="007F1054">
        <w:rPr>
          <w:rFonts w:ascii="Arial" w:hAnsi="Arial"/>
          <w:noProof/>
          <w:color w:val="000000"/>
          <w:sz w:val="20"/>
          <w:szCs w:val="20"/>
          <w:u w:val="single" w:color="000000"/>
          <w:lang w:val="pt-BR"/>
        </w:rPr>
        <w:t>Kettlein Rodrigues Pedroso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vertAlign w:val="superscript"/>
          <w:lang w:val="pt-BR"/>
        </w:rPr>
        <w:t>1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lang w:val="pt-BR"/>
        </w:rPr>
        <w:t>, André Gustavo Mattos Ferreira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vertAlign w:val="superscript"/>
          <w:lang w:val="pt-BR"/>
        </w:rPr>
        <w:t>1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lang w:val="pt-BR"/>
        </w:rPr>
        <w:t>, Bruna Vieira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vertAlign w:val="superscript"/>
          <w:lang w:val="pt-BR"/>
        </w:rPr>
        <w:t>1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lang w:val="pt-BR"/>
        </w:rPr>
        <w:t>, Cleverson Anderson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vertAlign w:val="superscript"/>
          <w:lang w:val="pt-BR"/>
        </w:rPr>
        <w:t>1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lang w:val="pt-BR"/>
        </w:rPr>
        <w:t>, Gabrielle Pelegrini Siqueira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vertAlign w:val="superscript"/>
          <w:lang w:val="pt-BR"/>
        </w:rPr>
        <w:t>1</w:t>
      </w:r>
      <w:r w:rsidRPr="007F1054">
        <w:rPr>
          <w:rFonts w:ascii="Arial" w:eastAsia="Arial" w:hAnsi="Arial" w:cs="Arial"/>
          <w:noProof/>
          <w:color w:val="000000"/>
          <w:sz w:val="20"/>
          <w:szCs w:val="20"/>
          <w:u w:color="000000"/>
          <w:lang w:val="pt-BR"/>
        </w:rPr>
        <w:t>, Kelen Cristina Basso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vertAlign w:val="superscript"/>
          <w:lang w:val="pt-BR"/>
        </w:rPr>
        <w:t>2</w:t>
      </w:r>
    </w:p>
    <w:p w14:paraId="4DAEBE9B" w14:textId="77777777" w:rsidR="00A02788" w:rsidRPr="007F1054" w:rsidRDefault="00A02788" w:rsidP="00A02788">
      <w:pPr>
        <w:pStyle w:val="LO-normal"/>
        <w:ind w:right="284"/>
        <w:jc w:val="center"/>
        <w:rPr>
          <w:rFonts w:ascii="Arial" w:eastAsia="Arial" w:hAnsi="Arial" w:cs="Arial"/>
          <w:noProof/>
          <w:color w:val="000000"/>
          <w:sz w:val="20"/>
          <w:szCs w:val="20"/>
          <w:u w:color="000000"/>
          <w:lang w:val="pt-BR"/>
        </w:rPr>
      </w:pPr>
    </w:p>
    <w:p w14:paraId="08AF7B25" w14:textId="0BF7EA24" w:rsidR="00A02788" w:rsidRPr="00A02788" w:rsidRDefault="00A02788" w:rsidP="00A02788">
      <w:pPr>
        <w:pStyle w:val="LO-normal"/>
        <w:ind w:right="284"/>
        <w:jc w:val="center"/>
        <w:rPr>
          <w:rFonts w:ascii="Arial" w:eastAsia="Arial" w:hAnsi="Arial" w:cs="Arial"/>
          <w:noProof/>
          <w:color w:val="000000"/>
          <w:sz w:val="20"/>
          <w:szCs w:val="20"/>
          <w:u w:color="000000"/>
          <w:lang w:val="pt-BR"/>
        </w:rPr>
      </w:pPr>
      <w:r w:rsidRPr="007F1054">
        <w:rPr>
          <w:rFonts w:ascii="Arial" w:hAnsi="Arial"/>
          <w:noProof/>
          <w:color w:val="000000"/>
          <w:sz w:val="20"/>
          <w:szCs w:val="20"/>
          <w:u w:color="000000"/>
          <w:vertAlign w:val="superscript"/>
          <w:lang w:val="pt-BR"/>
        </w:rPr>
        <w:t>1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lang w:val="pt-BR"/>
        </w:rPr>
        <w:t xml:space="preserve">Estudantes do curso de Agronomia na Universidade Federal de Santa Catarina, UFSC, Campus de Curitibanos. 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vertAlign w:val="superscript"/>
          <w:lang w:val="pt-BR"/>
        </w:rPr>
        <w:t>2</w:t>
      </w:r>
      <w:r w:rsidRPr="007F1054">
        <w:rPr>
          <w:rFonts w:ascii="Arial" w:hAnsi="Arial"/>
          <w:noProof/>
          <w:color w:val="000000"/>
          <w:sz w:val="20"/>
          <w:szCs w:val="20"/>
          <w:u w:color="000000"/>
          <w:lang w:val="pt-BR"/>
        </w:rPr>
        <w:t xml:space="preserve"> Professora na UFSC/CCR/CBA. E-mail: kettleinrp@gmail.com</w:t>
      </w:r>
    </w:p>
    <w:p w14:paraId="6137AD81" w14:textId="77777777" w:rsidR="003077DC" w:rsidRPr="007F1054" w:rsidRDefault="003077DC" w:rsidP="003077DC">
      <w:pPr>
        <w:pStyle w:val="LO-normal"/>
        <w:ind w:right="284"/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</w:pPr>
    </w:p>
    <w:p w14:paraId="7C282344" w14:textId="0B37CAB2" w:rsidR="00EE433B" w:rsidRPr="007F1054" w:rsidRDefault="003077DC" w:rsidP="00A9469D">
      <w:pPr>
        <w:autoSpaceDE w:val="0"/>
        <w:autoSpaceDN w:val="0"/>
        <w:adjustRightInd w:val="0"/>
        <w:jc w:val="both"/>
      </w:pPr>
      <w:r w:rsidRPr="007F1054">
        <w:rPr>
          <w:rFonts w:ascii="Arial" w:hAnsi="Arial"/>
          <w:b/>
          <w:bCs/>
          <w:color w:val="000000"/>
          <w:sz w:val="22"/>
          <w:szCs w:val="22"/>
          <w:u w:color="000000"/>
        </w:rPr>
        <w:t>Contribuição para a sociedade</w:t>
      </w:r>
      <w:r w:rsidRPr="007F1054">
        <w:rPr>
          <w:rFonts w:ascii="Arial" w:hAnsi="Arial"/>
          <w:color w:val="000000"/>
          <w:sz w:val="22"/>
          <w:szCs w:val="22"/>
          <w:u w:color="000000"/>
        </w:rPr>
        <w:t xml:space="preserve">: </w:t>
      </w:r>
      <w:r w:rsidR="00163A8C" w:rsidRPr="007F1054">
        <w:rPr>
          <w:rFonts w:ascii="Arial" w:hAnsi="Arial"/>
          <w:color w:val="000000"/>
          <w:sz w:val="22"/>
          <w:szCs w:val="22"/>
          <w:u w:color="000000"/>
        </w:rPr>
        <w:t xml:space="preserve">para </w:t>
      </w:r>
      <w:r w:rsidR="007407D4" w:rsidRPr="007F1054">
        <w:rPr>
          <w:rFonts w:ascii="Arial" w:hAnsi="Arial"/>
          <w:color w:val="000000"/>
          <w:sz w:val="22"/>
          <w:szCs w:val="22"/>
          <w:u w:color="000000"/>
        </w:rPr>
        <w:t xml:space="preserve">melhorar </w:t>
      </w:r>
      <w:r w:rsidR="00163A8C" w:rsidRPr="007F1054">
        <w:rPr>
          <w:rFonts w:ascii="Arial" w:hAnsi="Arial"/>
          <w:color w:val="000000"/>
          <w:sz w:val="22"/>
          <w:szCs w:val="22"/>
          <w:u w:color="000000"/>
        </w:rPr>
        <w:t xml:space="preserve">a produção de forragem, a rebrota e a resposta </w:t>
      </w:r>
      <w:r w:rsidR="00780136">
        <w:rPr>
          <w:rFonts w:ascii="Arial" w:hAnsi="Arial"/>
          <w:color w:val="000000"/>
          <w:sz w:val="22"/>
          <w:szCs w:val="22"/>
          <w:u w:color="000000"/>
        </w:rPr>
        <w:t>à e</w:t>
      </w:r>
      <w:r w:rsidR="00163A8C" w:rsidRPr="007F1054">
        <w:rPr>
          <w:rFonts w:ascii="Arial" w:hAnsi="Arial"/>
          <w:color w:val="000000"/>
          <w:sz w:val="22"/>
          <w:szCs w:val="22"/>
          <w:u w:color="000000"/>
        </w:rPr>
        <w:t>stress</w:t>
      </w:r>
      <w:r w:rsidR="00780136">
        <w:rPr>
          <w:rFonts w:ascii="Arial" w:hAnsi="Arial"/>
          <w:color w:val="000000"/>
          <w:sz w:val="22"/>
          <w:szCs w:val="22"/>
          <w:u w:color="000000"/>
        </w:rPr>
        <w:t>es</w:t>
      </w:r>
      <w:r w:rsidR="00163A8C" w:rsidRPr="007F1054">
        <w:rPr>
          <w:rFonts w:ascii="Arial" w:hAnsi="Arial"/>
          <w:color w:val="000000"/>
          <w:sz w:val="22"/>
          <w:szCs w:val="22"/>
          <w:u w:color="000000"/>
        </w:rPr>
        <w:t xml:space="preserve"> ambientais, novos produtos vêm sendo lançados e utilizados em pastagens.</w:t>
      </w:r>
      <w:r w:rsidR="007407D4" w:rsidRPr="007F1054">
        <w:rPr>
          <w:rFonts w:ascii="Arial" w:hAnsi="Arial"/>
          <w:color w:val="000000"/>
          <w:sz w:val="22"/>
          <w:szCs w:val="22"/>
          <w:u w:color="000000"/>
        </w:rPr>
        <w:t xml:space="preserve"> </w:t>
      </w:r>
      <w:r w:rsidR="00163A8C" w:rsidRPr="007F1054">
        <w:rPr>
          <w:rFonts w:ascii="Arial" w:hAnsi="Arial"/>
          <w:color w:val="000000"/>
          <w:sz w:val="22"/>
          <w:szCs w:val="22"/>
          <w:u w:color="000000"/>
        </w:rPr>
        <w:t xml:space="preserve">Alguns promovem </w:t>
      </w:r>
      <w:r w:rsidR="007407D4" w:rsidRPr="007F1054">
        <w:rPr>
          <w:rFonts w:ascii="Arial" w:hAnsi="Arial"/>
          <w:color w:val="000000"/>
          <w:sz w:val="22"/>
          <w:szCs w:val="22"/>
          <w:u w:color="000000"/>
        </w:rPr>
        <w:t xml:space="preserve">melhores condições de desenvolvimento radicular e </w:t>
      </w:r>
      <w:r w:rsidR="00780136">
        <w:rPr>
          <w:rFonts w:ascii="Arial" w:hAnsi="Arial"/>
          <w:color w:val="000000"/>
          <w:sz w:val="22"/>
          <w:szCs w:val="22"/>
          <w:u w:color="000000"/>
        </w:rPr>
        <w:t>melhorar a capacidade de absorção de</w:t>
      </w:r>
      <w:r w:rsidR="007407D4" w:rsidRPr="007F1054">
        <w:rPr>
          <w:rFonts w:ascii="Arial" w:hAnsi="Arial"/>
          <w:color w:val="000000"/>
          <w:sz w:val="22"/>
          <w:szCs w:val="22"/>
          <w:u w:color="000000"/>
        </w:rPr>
        <w:t xml:space="preserve"> nutrientes</w:t>
      </w:r>
      <w:r w:rsidR="00C05F32" w:rsidRPr="007F1054">
        <w:rPr>
          <w:rFonts w:ascii="Arial" w:hAnsi="Arial"/>
          <w:color w:val="000000"/>
          <w:sz w:val="22"/>
          <w:szCs w:val="22"/>
          <w:u w:color="000000"/>
        </w:rPr>
        <w:t xml:space="preserve"> do solo, podem também, </w:t>
      </w:r>
      <w:r w:rsidR="007407D4" w:rsidRPr="007F1054">
        <w:rPr>
          <w:rFonts w:ascii="Arial" w:hAnsi="Arial"/>
          <w:color w:val="000000"/>
          <w:sz w:val="22"/>
          <w:szCs w:val="22"/>
          <w:u w:color="000000"/>
        </w:rPr>
        <w:t>auxilia</w:t>
      </w:r>
      <w:r w:rsidR="00C05F32" w:rsidRPr="007F1054">
        <w:rPr>
          <w:rFonts w:ascii="Arial" w:hAnsi="Arial"/>
          <w:color w:val="000000"/>
          <w:sz w:val="22"/>
          <w:szCs w:val="22"/>
          <w:u w:color="000000"/>
        </w:rPr>
        <w:t>r n</w:t>
      </w:r>
      <w:r w:rsidR="007407D4" w:rsidRPr="007F1054">
        <w:rPr>
          <w:rFonts w:ascii="Arial" w:hAnsi="Arial"/>
          <w:color w:val="000000"/>
          <w:sz w:val="22"/>
          <w:szCs w:val="22"/>
          <w:u w:color="000000"/>
        </w:rPr>
        <w:t xml:space="preserve">a liberação do nitrogênio, oxigênio, nitrificação, entre outros. </w:t>
      </w:r>
      <w:r w:rsidR="00C05F32" w:rsidRPr="007F1054">
        <w:rPr>
          <w:rFonts w:ascii="Arial" w:hAnsi="Arial"/>
          <w:color w:val="000000"/>
          <w:sz w:val="22"/>
          <w:szCs w:val="22"/>
          <w:u w:color="000000"/>
        </w:rPr>
        <w:t>Desta forma, a</w:t>
      </w:r>
      <w:r w:rsidR="00163A8C" w:rsidRPr="007F1054">
        <w:rPr>
          <w:rFonts w:ascii="Arial" w:hAnsi="Arial"/>
          <w:color w:val="000000"/>
          <w:sz w:val="22"/>
          <w:szCs w:val="22"/>
          <w:u w:color="000000"/>
        </w:rPr>
        <w:t xml:space="preserve"> utilização de aminoácidos, fito-hormônios, ácidos húmicos e fú</w:t>
      </w:r>
      <w:r w:rsidR="00AF40DE" w:rsidRPr="007F1054">
        <w:rPr>
          <w:rFonts w:ascii="Arial" w:hAnsi="Arial"/>
          <w:color w:val="000000"/>
          <w:sz w:val="22"/>
          <w:szCs w:val="22"/>
          <w:u w:color="000000"/>
        </w:rPr>
        <w:t>l</w:t>
      </w:r>
      <w:r w:rsidR="00163A8C" w:rsidRPr="007F1054">
        <w:rPr>
          <w:rFonts w:ascii="Arial" w:hAnsi="Arial"/>
          <w:color w:val="000000"/>
          <w:sz w:val="22"/>
          <w:szCs w:val="22"/>
          <w:u w:color="000000"/>
        </w:rPr>
        <w:t xml:space="preserve">vicos podem trazer melhorias as atividades fisiológicas </w:t>
      </w:r>
      <w:r w:rsidR="00780136">
        <w:rPr>
          <w:rFonts w:ascii="Arial" w:hAnsi="Arial"/>
          <w:color w:val="000000"/>
          <w:sz w:val="22"/>
          <w:szCs w:val="22"/>
          <w:u w:color="000000"/>
        </w:rPr>
        <w:t>d</w:t>
      </w:r>
      <w:r w:rsidR="007407D4" w:rsidRPr="007F1054">
        <w:rPr>
          <w:rFonts w:ascii="Arial" w:hAnsi="Arial"/>
          <w:color w:val="000000"/>
          <w:sz w:val="22"/>
          <w:szCs w:val="22"/>
          <w:u w:color="000000"/>
        </w:rPr>
        <w:t>o pasto</w:t>
      </w:r>
      <w:r w:rsidR="00163A8C" w:rsidRPr="007F1054">
        <w:rPr>
          <w:rFonts w:ascii="Arial" w:hAnsi="Arial"/>
          <w:color w:val="000000"/>
          <w:sz w:val="22"/>
          <w:szCs w:val="22"/>
          <w:u w:color="000000"/>
        </w:rPr>
        <w:t>, otimizando sua produção. Assim, o objetivo deste trabalho foi</w:t>
      </w:r>
      <w:r w:rsidR="00EE433B" w:rsidRPr="007F1054">
        <w:rPr>
          <w:rFonts w:ascii="Arial" w:hAnsi="Arial"/>
          <w:color w:val="000000"/>
          <w:sz w:val="22"/>
          <w:szCs w:val="22"/>
          <w:u w:color="000000"/>
        </w:rPr>
        <w:t xml:space="preserve"> </w:t>
      </w:r>
      <w:r w:rsidR="00EE433B" w:rsidRPr="007F1054">
        <w:rPr>
          <w:rFonts w:ascii="Arial" w:hAnsi="Arial" w:cs="Arial"/>
          <w:sz w:val="22"/>
          <w:szCs w:val="22"/>
        </w:rPr>
        <w:t xml:space="preserve">determinar a produção de forragem </w:t>
      </w:r>
      <w:r w:rsidR="00780136">
        <w:rPr>
          <w:rFonts w:ascii="Arial" w:hAnsi="Arial" w:cs="Arial"/>
          <w:sz w:val="22"/>
          <w:szCs w:val="22"/>
        </w:rPr>
        <w:t>da aveia preta</w:t>
      </w:r>
      <w:r w:rsidR="00EE433B" w:rsidRPr="007F1054">
        <w:rPr>
          <w:rFonts w:ascii="Arial" w:hAnsi="Arial" w:cs="Arial"/>
          <w:sz w:val="22"/>
          <w:szCs w:val="22"/>
        </w:rPr>
        <w:t xml:space="preserve"> com a utilização de adubação</w:t>
      </w:r>
      <w:r w:rsidR="00780136">
        <w:rPr>
          <w:rFonts w:ascii="Arial" w:hAnsi="Arial" w:cs="Arial"/>
          <w:sz w:val="22"/>
          <w:szCs w:val="22"/>
        </w:rPr>
        <w:t xml:space="preserve"> nitrogenada associada ao uso de aminoácidos,</w:t>
      </w:r>
      <w:r w:rsidR="00EE433B" w:rsidRPr="007F1054">
        <w:rPr>
          <w:rFonts w:ascii="Arial" w:hAnsi="Arial" w:cs="Arial"/>
          <w:sz w:val="22"/>
          <w:szCs w:val="22"/>
        </w:rPr>
        <w:t xml:space="preserve"> ácidos húmicos e fúvicos</w:t>
      </w:r>
      <w:r w:rsidR="00780136">
        <w:rPr>
          <w:rFonts w:ascii="Arial" w:hAnsi="Arial" w:cs="Arial"/>
          <w:sz w:val="22"/>
          <w:szCs w:val="22"/>
        </w:rPr>
        <w:t>, não sendo observada diferença significativa na produção e no acúmulo de forragem.</w:t>
      </w:r>
    </w:p>
    <w:p w14:paraId="30080D79" w14:textId="13D1A270" w:rsidR="003077DC" w:rsidRPr="007F1054" w:rsidRDefault="00332D35" w:rsidP="003077DC">
      <w:pPr>
        <w:pStyle w:val="LO-normal"/>
        <w:jc w:val="both"/>
        <w:rPr>
          <w:noProof/>
          <w:lang w:val="pt-BR"/>
        </w:rPr>
      </w:pP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</w:t>
      </w:r>
    </w:p>
    <w:p w14:paraId="53AA21BA" w14:textId="25774C86" w:rsidR="003077DC" w:rsidRPr="007F1054" w:rsidRDefault="003077DC" w:rsidP="003077DC">
      <w:pPr>
        <w:pStyle w:val="LO-normal"/>
        <w:jc w:val="both"/>
        <w:rPr>
          <w:rFonts w:ascii="Arial" w:hAnsi="Arial"/>
          <w:iCs/>
          <w:noProof/>
          <w:color w:val="000000"/>
          <w:sz w:val="22"/>
          <w:szCs w:val="22"/>
          <w:u w:color="000000"/>
          <w:lang w:val="pt-BR"/>
        </w:rPr>
      </w:pPr>
      <w:r w:rsidRPr="007F1054">
        <w:rPr>
          <w:rFonts w:ascii="Arial" w:hAnsi="Arial"/>
          <w:b/>
          <w:bCs/>
          <w:noProof/>
          <w:color w:val="000000"/>
          <w:sz w:val="22"/>
          <w:szCs w:val="22"/>
          <w:u w:color="000000"/>
          <w:lang w:val="pt-BR"/>
        </w:rPr>
        <w:t>Palavras-chave</w:t>
      </w: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: </w:t>
      </w:r>
      <w:r w:rsidR="003142E6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ácidos húmicos, ácidos fú</w:t>
      </w:r>
      <w:r w:rsidR="00AF40DE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l</w:t>
      </w:r>
      <w:r w:rsidR="003142E6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vicos, </w:t>
      </w:r>
      <w:r w:rsidRPr="007F1054">
        <w:rPr>
          <w:rFonts w:ascii="Arial" w:hAnsi="Arial"/>
          <w:i/>
          <w:iCs/>
          <w:noProof/>
          <w:color w:val="000000"/>
          <w:sz w:val="22"/>
          <w:szCs w:val="22"/>
          <w:u w:color="000000"/>
          <w:lang w:val="pt-BR"/>
        </w:rPr>
        <w:t xml:space="preserve">Avena strigosa, </w:t>
      </w:r>
      <w:r w:rsidR="003142E6" w:rsidRPr="007F1054">
        <w:rPr>
          <w:rFonts w:ascii="Arial" w:hAnsi="Arial"/>
          <w:iCs/>
          <w:noProof/>
          <w:color w:val="000000"/>
          <w:sz w:val="22"/>
          <w:szCs w:val="22"/>
          <w:u w:color="000000"/>
          <w:lang w:val="pt-BR"/>
        </w:rPr>
        <w:t>fito-hormônios</w:t>
      </w:r>
    </w:p>
    <w:p w14:paraId="3054215B" w14:textId="77777777" w:rsidR="001D59A2" w:rsidRPr="007F1054" w:rsidRDefault="001D59A2" w:rsidP="003077DC">
      <w:pPr>
        <w:pStyle w:val="LO-normal"/>
        <w:jc w:val="both"/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</w:pPr>
    </w:p>
    <w:p w14:paraId="17C97089" w14:textId="7D454FE5" w:rsidR="003077DC" w:rsidRPr="007F1054" w:rsidRDefault="003077DC">
      <w:pPr>
        <w:pStyle w:val="LO-normal"/>
        <w:jc w:val="both"/>
        <w:rPr>
          <w:rFonts w:ascii="Arial" w:hAnsi="Arial" w:cs="Arial"/>
          <w:b/>
          <w:bCs/>
          <w:noProof/>
          <w:color w:val="000000"/>
          <w:sz w:val="18"/>
          <w:szCs w:val="18"/>
          <w:u w:color="000000"/>
          <w:lang w:val="pt-BR"/>
        </w:rPr>
      </w:pPr>
      <w:r w:rsidRPr="007F1054">
        <w:rPr>
          <w:rFonts w:ascii="Arial" w:hAnsi="Arial"/>
          <w:b/>
          <w:bCs/>
          <w:noProof/>
          <w:color w:val="000000"/>
          <w:sz w:val="22"/>
          <w:szCs w:val="22"/>
          <w:u w:color="000000"/>
          <w:lang w:val="pt-BR"/>
        </w:rPr>
        <w:t xml:space="preserve">Introdução: </w:t>
      </w:r>
      <w:r w:rsidR="00A31B67" w:rsidRPr="007F1054">
        <w:rPr>
          <w:rFonts w:ascii="Arial" w:hAnsi="Arial" w:cs="Arial"/>
          <w:noProof/>
          <w:sz w:val="22"/>
          <w:szCs w:val="22"/>
          <w:lang w:val="pt-BR"/>
        </w:rPr>
        <w:t>Novos produtos têm</w:t>
      </w:r>
      <w:r w:rsidR="003142E6" w:rsidRPr="007F1054">
        <w:rPr>
          <w:rFonts w:ascii="Arial" w:hAnsi="Arial" w:cs="Arial"/>
          <w:noProof/>
          <w:sz w:val="22"/>
          <w:szCs w:val="22"/>
          <w:lang w:val="pt-BR"/>
        </w:rPr>
        <w:t xml:space="preserve"> sido testados e comercializados com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diferentes princípios ativos</w:t>
      </w:r>
      <w:r w:rsidR="00002188" w:rsidRPr="007F1054">
        <w:rPr>
          <w:rFonts w:ascii="Arial" w:hAnsi="Arial" w:cs="Arial"/>
          <w:noProof/>
          <w:sz w:val="22"/>
          <w:szCs w:val="22"/>
          <w:lang w:val="pt-BR"/>
        </w:rPr>
        <w:t xml:space="preserve">. </w:t>
      </w:r>
      <w:r w:rsidR="00EE433B" w:rsidRPr="007F1054">
        <w:rPr>
          <w:rFonts w:ascii="Arial" w:hAnsi="Arial" w:cs="Arial"/>
          <w:noProof/>
          <w:sz w:val="22"/>
          <w:szCs w:val="22"/>
          <w:lang w:val="pt-BR"/>
        </w:rPr>
        <w:t>As substâncias húmicas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 xml:space="preserve"> e fúvicas</w:t>
      </w:r>
      <w:r w:rsidR="00EE433B" w:rsidRPr="007F1054">
        <w:rPr>
          <w:rFonts w:ascii="Arial" w:hAnsi="Arial" w:cs="Arial"/>
          <w:noProof/>
          <w:sz w:val="22"/>
          <w:szCs w:val="22"/>
          <w:lang w:val="pt-BR"/>
        </w:rPr>
        <w:t xml:space="preserve">, tem funcionalidade na melhoria </w:t>
      </w:r>
      <w:r w:rsidR="00780136">
        <w:rPr>
          <w:rFonts w:ascii="Arial" w:hAnsi="Arial" w:cs="Arial"/>
          <w:noProof/>
          <w:sz w:val="22"/>
          <w:szCs w:val="22"/>
          <w:lang w:val="pt-BR"/>
        </w:rPr>
        <w:t>d</w:t>
      </w:r>
      <w:r w:rsidR="00EE433B" w:rsidRPr="007F1054">
        <w:rPr>
          <w:rFonts w:ascii="Arial" w:hAnsi="Arial" w:cs="Arial"/>
          <w:noProof/>
          <w:sz w:val="22"/>
          <w:szCs w:val="22"/>
          <w:lang w:val="pt-BR"/>
        </w:rPr>
        <w:t xml:space="preserve">a disponibilidade de nutrientes, </w:t>
      </w:r>
      <w:r w:rsidR="00780136">
        <w:rPr>
          <w:rFonts w:ascii="Arial" w:hAnsi="Arial" w:cs="Arial"/>
          <w:noProof/>
          <w:sz w:val="22"/>
          <w:szCs w:val="22"/>
          <w:lang w:val="pt-BR"/>
        </w:rPr>
        <w:t>d</w:t>
      </w:r>
      <w:r w:rsidR="00EE433B" w:rsidRPr="007F1054">
        <w:rPr>
          <w:rFonts w:ascii="Arial" w:hAnsi="Arial" w:cs="Arial"/>
          <w:noProof/>
          <w:sz w:val="22"/>
          <w:szCs w:val="22"/>
          <w:lang w:val="pt-BR"/>
        </w:rPr>
        <w:t xml:space="preserve">a estrutura física do solo, </w:t>
      </w:r>
      <w:r w:rsidR="00780136">
        <w:rPr>
          <w:rFonts w:ascii="Arial" w:hAnsi="Arial" w:cs="Arial"/>
          <w:noProof/>
          <w:sz w:val="22"/>
          <w:szCs w:val="22"/>
          <w:lang w:val="pt-BR"/>
        </w:rPr>
        <w:t>d</w:t>
      </w:r>
      <w:r w:rsidR="00EE433B" w:rsidRPr="007F1054">
        <w:rPr>
          <w:rFonts w:ascii="Arial" w:hAnsi="Arial" w:cs="Arial"/>
          <w:noProof/>
          <w:sz w:val="22"/>
          <w:szCs w:val="22"/>
          <w:lang w:val="pt-BR"/>
        </w:rPr>
        <w:t>a fauna microbiana, além de</w:t>
      </w:r>
      <w:r w:rsidR="00780136">
        <w:rPr>
          <w:rFonts w:ascii="Arial" w:hAnsi="Arial" w:cs="Arial"/>
          <w:noProof/>
          <w:sz w:val="22"/>
          <w:szCs w:val="22"/>
          <w:lang w:val="pt-BR"/>
        </w:rPr>
        <w:t xml:space="preserve"> melhorar a</w:t>
      </w:r>
      <w:r w:rsidR="00EE433B" w:rsidRPr="007F1054">
        <w:rPr>
          <w:rFonts w:ascii="Arial" w:hAnsi="Arial" w:cs="Arial"/>
          <w:noProof/>
          <w:sz w:val="22"/>
          <w:szCs w:val="22"/>
          <w:lang w:val="pt-BR"/>
        </w:rPr>
        <w:t xml:space="preserve"> retenção de água</w:t>
      </w:r>
      <w:r w:rsidR="00780136">
        <w:rPr>
          <w:rFonts w:ascii="Arial" w:hAnsi="Arial" w:cs="Arial"/>
          <w:noProof/>
          <w:sz w:val="22"/>
          <w:szCs w:val="22"/>
          <w:lang w:val="pt-BR"/>
        </w:rPr>
        <w:t xml:space="preserve"> no solo.</w:t>
      </w:r>
      <w:r w:rsidR="00EE433B" w:rsidRPr="007F1054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Dentre esses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>,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estão os melhoradores da disponibilidade de nutrientes e eficiência da rizosfera,</w:t>
      </w:r>
      <w:r w:rsidR="00002188" w:rsidRPr="007F1054">
        <w:rPr>
          <w:rFonts w:ascii="Arial" w:hAnsi="Arial" w:cs="Arial"/>
          <w:noProof/>
          <w:sz w:val="22"/>
          <w:szCs w:val="22"/>
          <w:lang w:val="pt-BR"/>
        </w:rPr>
        <w:t xml:space="preserve"> que 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possuem papel fundamental para o desenvolvimento radicul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>ar da planta e consequentemente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>n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a maior absorção dos nutrientes.</w:t>
      </w:r>
      <w:r w:rsidR="00C7435C" w:rsidRPr="007F1054">
        <w:rPr>
          <w:rFonts w:ascii="Arial" w:hAnsi="Arial" w:cs="Arial"/>
          <w:noProof/>
          <w:sz w:val="22"/>
          <w:szCs w:val="22"/>
          <w:lang w:val="pt-BR"/>
        </w:rPr>
        <w:t xml:space="preserve"> De acordo com Santos</w:t>
      </w:r>
      <w:r w:rsidR="001E23B7">
        <w:rPr>
          <w:rFonts w:ascii="Arial" w:hAnsi="Arial" w:cs="Arial"/>
          <w:noProof/>
          <w:sz w:val="22"/>
          <w:szCs w:val="22"/>
          <w:lang w:val="pt-BR"/>
        </w:rPr>
        <w:t xml:space="preserve"> et al.,</w:t>
      </w:r>
      <w:r w:rsidR="00C7435C" w:rsidRPr="007F1054">
        <w:rPr>
          <w:rFonts w:ascii="Arial" w:hAnsi="Arial" w:cs="Arial"/>
          <w:noProof/>
          <w:sz w:val="22"/>
          <w:szCs w:val="22"/>
          <w:lang w:val="pt-BR"/>
        </w:rPr>
        <w:t xml:space="preserve"> (2019), a utilização de ácido húmico + fú</w:t>
      </w:r>
      <w:r w:rsidR="00AF40DE" w:rsidRPr="007F1054">
        <w:rPr>
          <w:rFonts w:ascii="Arial" w:hAnsi="Arial" w:cs="Arial"/>
          <w:noProof/>
          <w:sz w:val="22"/>
          <w:szCs w:val="22"/>
          <w:lang w:val="pt-BR"/>
        </w:rPr>
        <w:t>l</w:t>
      </w:r>
      <w:r w:rsidR="00C7435C" w:rsidRPr="007F1054">
        <w:rPr>
          <w:rFonts w:ascii="Arial" w:hAnsi="Arial" w:cs="Arial"/>
          <w:noProof/>
          <w:sz w:val="22"/>
          <w:szCs w:val="22"/>
          <w:lang w:val="pt-BR"/>
        </w:rPr>
        <w:t xml:space="preserve">vico podem alterar características químicas de correção e fertilidade do solo, aumentando os níveis de nutrientes disponíveis para as plantas. </w:t>
      </w:r>
      <w:r w:rsidR="007F1054">
        <w:rPr>
          <w:rFonts w:ascii="Arial" w:eastAsia="Arial" w:hAnsi="Arial" w:cs="Arial"/>
          <w:noProof/>
          <w:sz w:val="22"/>
          <w:szCs w:val="22"/>
          <w:lang w:val="pt-BR"/>
        </w:rPr>
        <w:t>Ao</w:t>
      </w:r>
      <w:r w:rsidR="007F1054"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 </w:t>
      </w:r>
      <w:r w:rsidR="008A39B4">
        <w:rPr>
          <w:rFonts w:ascii="Arial" w:eastAsia="Arial" w:hAnsi="Arial" w:cs="Arial"/>
          <w:noProof/>
          <w:sz w:val="22"/>
          <w:szCs w:val="22"/>
          <w:lang w:val="pt-BR"/>
        </w:rPr>
        <w:t>manejar adequadamente, as plantas forrageiras</w:t>
      </w:r>
      <w:r w:rsidR="007F1054"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 de inverno podem beneficiar as culturas de verão, promovendo a produção de matéria orgânica de alta qualidade no solo (ASSMANN e SOARES, 2016). </w:t>
      </w:r>
      <w:r w:rsidR="001D242B" w:rsidRPr="007F1054">
        <w:rPr>
          <w:rFonts w:ascii="Arial" w:hAnsi="Arial" w:cs="Arial"/>
          <w:noProof/>
          <w:sz w:val="22"/>
          <w:szCs w:val="22"/>
          <w:lang w:val="pt-BR"/>
        </w:rPr>
        <w:t>O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objetivo do trabalho foi avaliar a eficiência </w:t>
      </w:r>
      <w:r w:rsidR="001D242B" w:rsidRPr="007F1054">
        <w:rPr>
          <w:rFonts w:ascii="Arial" w:hAnsi="Arial" w:cs="Arial"/>
          <w:noProof/>
          <w:sz w:val="22"/>
          <w:szCs w:val="22"/>
          <w:lang w:val="pt-BR"/>
        </w:rPr>
        <w:t>de</w:t>
      </w:r>
      <w:r w:rsidR="00C3175A">
        <w:rPr>
          <w:rFonts w:ascii="Arial" w:hAnsi="Arial" w:cs="Arial"/>
          <w:noProof/>
          <w:sz w:val="22"/>
          <w:szCs w:val="22"/>
          <w:lang w:val="pt-BR"/>
        </w:rPr>
        <w:t xml:space="preserve"> dois produtos que contém</w:t>
      </w:r>
      <w:r w:rsidR="001D242B" w:rsidRPr="007F1054">
        <w:rPr>
          <w:rFonts w:ascii="Arial" w:hAnsi="Arial" w:cs="Arial"/>
          <w:noProof/>
          <w:sz w:val="22"/>
          <w:szCs w:val="22"/>
          <w:lang w:val="pt-BR"/>
        </w:rPr>
        <w:t xml:space="preserve"> ácidos húmicos, fú</w:t>
      </w:r>
      <w:r w:rsidR="00697B2C">
        <w:rPr>
          <w:rFonts w:ascii="Arial" w:hAnsi="Arial" w:cs="Arial"/>
          <w:noProof/>
          <w:sz w:val="22"/>
          <w:szCs w:val="22"/>
          <w:lang w:val="pt-BR"/>
        </w:rPr>
        <w:t>l</w:t>
      </w:r>
      <w:r w:rsidR="001D242B" w:rsidRPr="007F1054">
        <w:rPr>
          <w:rFonts w:ascii="Arial" w:hAnsi="Arial" w:cs="Arial"/>
          <w:noProof/>
          <w:sz w:val="22"/>
          <w:szCs w:val="22"/>
          <w:lang w:val="pt-BR"/>
        </w:rPr>
        <w:t>vicos e de fito-hormônios na produção de forragem de pastos de aveia preta.</w:t>
      </w:r>
      <w:r w:rsidR="008A39B4" w:rsidRPr="007F1054">
        <w:rPr>
          <w:rFonts w:ascii="Arial" w:hAnsi="Arial" w:cs="Arial"/>
          <w:b/>
          <w:bCs/>
          <w:noProof/>
          <w:color w:val="000000"/>
          <w:sz w:val="18"/>
          <w:szCs w:val="18"/>
          <w:u w:color="000000"/>
          <w:lang w:val="pt-BR"/>
        </w:rPr>
        <w:t xml:space="preserve"> </w:t>
      </w:r>
    </w:p>
    <w:p w14:paraId="25EF05D9" w14:textId="77777777" w:rsidR="003077DC" w:rsidRPr="007F1054" w:rsidRDefault="003077DC" w:rsidP="003077DC">
      <w:pPr>
        <w:pStyle w:val="LO-normal"/>
        <w:jc w:val="both"/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</w:pPr>
    </w:p>
    <w:p w14:paraId="54FDA8A4" w14:textId="3C191577" w:rsidR="003077DC" w:rsidRPr="007F1054" w:rsidRDefault="003077DC" w:rsidP="00EE433B">
      <w:pPr>
        <w:pStyle w:val="LO-normal"/>
        <w:jc w:val="both"/>
        <w:rPr>
          <w:rFonts w:ascii="Arial" w:hAnsi="Arial" w:cs="Arial"/>
          <w:noProof/>
          <w:sz w:val="22"/>
          <w:szCs w:val="22"/>
          <w:lang w:val="pt-BR"/>
        </w:rPr>
      </w:pPr>
      <w:bookmarkStart w:id="1" w:name="_headingh.30j0zll"/>
      <w:bookmarkEnd w:id="1"/>
      <w:r w:rsidRPr="007F1054">
        <w:rPr>
          <w:rFonts w:ascii="Arial" w:hAnsi="Arial"/>
          <w:b/>
          <w:bCs/>
          <w:noProof/>
          <w:color w:val="000000"/>
          <w:sz w:val="22"/>
          <w:szCs w:val="22"/>
          <w:u w:color="000000"/>
          <w:lang w:val="pt-BR"/>
        </w:rPr>
        <w:t>Material e métodos:</w:t>
      </w: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O experimento foi conduzido na Fazenda Agropecuária da Universidade Federal de Santa Catarina, Campus Curitibanos. A fazenda se localiza a 27 º 16’ 58” S de latitude e a 50º 30’ 0,4” W de longitude e uma altitude média de 987m. A região possui estações bastante definidas, com temperaturas médias entre 15ºC e 25ºC durante todo o ano, com distribuição de chuva ao longo do ano ao entorno de 1676mm, e caracteriza-se pelo tipo climático cfb – clima subtropical úmido pela classificação de Köeppen. O tipo de solo da região é classificado como Cambissolo Háplico, com textura argilosa. O 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experimento </w:t>
      </w:r>
      <w:r w:rsidR="00E50186" w:rsidRPr="00C3175A">
        <w:rPr>
          <w:rFonts w:ascii="Arial" w:hAnsi="Arial" w:cs="Arial"/>
          <w:noProof/>
          <w:sz w:val="22"/>
          <w:szCs w:val="22"/>
          <w:lang w:val="pt-BR"/>
        </w:rPr>
        <w:t xml:space="preserve">foi 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realizado através do delineamento de blocos casualizados (DBC)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>, sendo qu</w:t>
      </w:r>
      <w:r w:rsidR="00EE433B" w:rsidRPr="00C3175A">
        <w:rPr>
          <w:rFonts w:ascii="Arial" w:hAnsi="Arial" w:cs="Arial"/>
          <w:noProof/>
          <w:sz w:val="22"/>
          <w:szCs w:val="22"/>
          <w:lang w:val="pt-BR"/>
        </w:rPr>
        <w:t>a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>t</w:t>
      </w:r>
      <w:r w:rsidR="00EE433B" w:rsidRPr="00C3175A">
        <w:rPr>
          <w:rFonts w:ascii="Arial" w:hAnsi="Arial" w:cs="Arial"/>
          <w:noProof/>
          <w:sz w:val="22"/>
          <w:szCs w:val="22"/>
          <w:lang w:val="pt-BR"/>
        </w:rPr>
        <w:t>r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 xml:space="preserve">o 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blocos 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>e quatro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>tratamentos: T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1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>)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: testemunha, sem nenhuma aplicação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>;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>T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2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>)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: aplicar 50 Kg de N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>.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ha</w:t>
      </w:r>
      <w:r w:rsidRPr="00C3175A">
        <w:rPr>
          <w:rFonts w:ascii="Arial" w:hAnsi="Arial" w:cs="Arial"/>
          <w:noProof/>
          <w:sz w:val="22"/>
          <w:szCs w:val="22"/>
          <w:vertAlign w:val="superscript"/>
          <w:lang w:val="pt-BR"/>
        </w:rPr>
        <w:t>-1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 no perfilhamento e 50 Kg de N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>.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ha</w:t>
      </w:r>
      <w:r w:rsidRPr="00C3175A">
        <w:rPr>
          <w:rFonts w:ascii="Arial" w:hAnsi="Arial" w:cs="Arial"/>
          <w:noProof/>
          <w:sz w:val="22"/>
          <w:szCs w:val="22"/>
          <w:vertAlign w:val="superscript"/>
          <w:lang w:val="pt-BR"/>
        </w:rPr>
        <w:t>-1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 após o primeiro corte;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 xml:space="preserve"> T3)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: T2 + LA VITHA 3,0 L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>.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ha</w:t>
      </w:r>
      <w:r w:rsidRPr="00C3175A">
        <w:rPr>
          <w:rFonts w:ascii="Arial" w:hAnsi="Arial" w:cs="Arial"/>
          <w:noProof/>
          <w:sz w:val="22"/>
          <w:szCs w:val="22"/>
          <w:vertAlign w:val="superscript"/>
          <w:lang w:val="pt-BR"/>
        </w:rPr>
        <w:t>-1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 + KADMAN 3,0 L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>.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ha</w:t>
      </w:r>
      <w:r w:rsidRPr="00C3175A">
        <w:rPr>
          <w:rFonts w:ascii="Arial" w:hAnsi="Arial" w:cs="Arial"/>
          <w:noProof/>
          <w:sz w:val="22"/>
          <w:szCs w:val="22"/>
          <w:vertAlign w:val="superscript"/>
          <w:lang w:val="pt-BR"/>
        </w:rPr>
        <w:t>-1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 em duas aplicações;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 xml:space="preserve"> T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4</w:t>
      </w:r>
      <w:r w:rsidR="00C05F32" w:rsidRPr="00C3175A">
        <w:rPr>
          <w:rFonts w:ascii="Arial" w:hAnsi="Arial" w:cs="Arial"/>
          <w:noProof/>
          <w:sz w:val="22"/>
          <w:szCs w:val="22"/>
          <w:lang w:val="pt-BR"/>
        </w:rPr>
        <w:t>)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: LA VITHA 3,0 L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>.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ha</w:t>
      </w:r>
      <w:r w:rsidRPr="00C3175A">
        <w:rPr>
          <w:rFonts w:ascii="Arial" w:hAnsi="Arial" w:cs="Arial"/>
          <w:noProof/>
          <w:sz w:val="22"/>
          <w:szCs w:val="22"/>
          <w:vertAlign w:val="superscript"/>
          <w:lang w:val="pt-BR"/>
        </w:rPr>
        <w:t>-1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 + KADMAN 3,0 L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>.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ha</w:t>
      </w:r>
      <w:r w:rsidRPr="00C3175A">
        <w:rPr>
          <w:rFonts w:ascii="Arial" w:hAnsi="Arial" w:cs="Arial"/>
          <w:noProof/>
          <w:sz w:val="22"/>
          <w:szCs w:val="22"/>
          <w:vertAlign w:val="superscript"/>
          <w:lang w:val="pt-BR"/>
        </w:rPr>
        <w:t>-1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 + 50 Kg de N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>.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ha</w:t>
      </w:r>
      <w:r w:rsidRPr="00C3175A">
        <w:rPr>
          <w:rFonts w:ascii="Arial" w:hAnsi="Arial" w:cs="Arial"/>
          <w:noProof/>
          <w:sz w:val="22"/>
          <w:szCs w:val="22"/>
          <w:vertAlign w:val="superscript"/>
          <w:lang w:val="pt-BR"/>
        </w:rPr>
        <w:t>-1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 xml:space="preserve"> em uma aplica</w:t>
      </w:r>
      <w:r w:rsidR="00C3175A">
        <w:rPr>
          <w:rFonts w:ascii="Arial" w:hAnsi="Arial" w:cs="Arial"/>
          <w:noProof/>
          <w:lang w:val="pt-BR"/>
        </w:rPr>
        <w:t xml:space="preserve">ção (60 DAE, dias após emergência). </w:t>
      </w:r>
      <w:r w:rsidR="00C3175A" w:rsidRPr="00C3175A">
        <w:rPr>
          <w:rFonts w:ascii="Arial" w:hAnsi="Arial" w:cs="Arial"/>
          <w:noProof/>
          <w:sz w:val="22"/>
          <w:szCs w:val="22"/>
          <w:lang w:val="pt-BR"/>
        </w:rPr>
        <w:t>Os dois produtos são soluções químicas</w:t>
      </w:r>
      <w:r w:rsidR="00C3175A">
        <w:rPr>
          <w:rFonts w:ascii="Arial" w:hAnsi="Arial" w:cs="Arial"/>
          <w:noProof/>
          <w:sz w:val="22"/>
          <w:szCs w:val="22"/>
          <w:lang w:val="pt-BR"/>
        </w:rPr>
        <w:t>, o KADMAN</w:t>
      </w:r>
      <w:r w:rsidR="00581150">
        <w:rPr>
          <w:rFonts w:ascii="Arial" w:hAnsi="Arial" w:cs="Arial"/>
          <w:noProof/>
          <w:sz w:val="22"/>
          <w:szCs w:val="22"/>
          <w:lang w:val="pt-BR"/>
        </w:rPr>
        <w:t xml:space="preserve"> foi</w:t>
      </w:r>
      <w:r w:rsidR="00C3175A" w:rsidRPr="00C3175A">
        <w:rPr>
          <w:rFonts w:ascii="Arial" w:hAnsi="Arial" w:cs="Arial"/>
          <w:noProof/>
          <w:sz w:val="22"/>
          <w:szCs w:val="22"/>
          <w:lang w:val="pt-BR"/>
        </w:rPr>
        <w:t xml:space="preserve"> desenvolvido com a tecnologia CHEMIA </w:t>
      </w:r>
      <w:r w:rsidR="00581150">
        <w:rPr>
          <w:rFonts w:ascii="Arial" w:hAnsi="Arial" w:cs="Arial"/>
          <w:noProof/>
          <w:sz w:val="22"/>
          <w:szCs w:val="22"/>
          <w:lang w:val="pt-BR"/>
        </w:rPr>
        <w:t xml:space="preserve">3104 e o LA VITHA com a tecnologia CHEMIA </w:t>
      </w:r>
      <w:r w:rsidR="00C3175A" w:rsidRPr="00C3175A">
        <w:rPr>
          <w:rFonts w:ascii="Arial" w:hAnsi="Arial" w:cs="Arial"/>
          <w:noProof/>
          <w:sz w:val="22"/>
          <w:szCs w:val="22"/>
          <w:lang w:val="pt-BR"/>
        </w:rPr>
        <w:t>2305.</w:t>
      </w:r>
      <w:r w:rsidR="00C3175A">
        <w:rPr>
          <w:rFonts w:ascii="Arial" w:hAnsi="Arial" w:cs="Arial"/>
          <w:noProof/>
          <w:lang w:val="pt-BR"/>
        </w:rPr>
        <w:t xml:space="preserve"> </w:t>
      </w:r>
      <w:r w:rsidRPr="00C3175A">
        <w:rPr>
          <w:rFonts w:ascii="Arial" w:hAnsi="Arial" w:cs="Arial"/>
          <w:noProof/>
          <w:sz w:val="22"/>
          <w:szCs w:val="22"/>
          <w:lang w:val="pt-BR"/>
        </w:rPr>
        <w:t>A aplicação do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N foi realizada por meio da ureia</w:t>
      </w:r>
      <w:r w:rsidR="00697B2C">
        <w:rPr>
          <w:rFonts w:ascii="Arial" w:hAnsi="Arial" w:cs="Arial"/>
          <w:noProof/>
          <w:sz w:val="22"/>
          <w:szCs w:val="22"/>
          <w:lang w:val="pt-BR"/>
        </w:rPr>
        <w:t xml:space="preserve"> (45% de N)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, aplicada a lanço de acordo com cada tratamento</w:t>
      </w:r>
      <w:r w:rsidR="00C05F32" w:rsidRPr="007F1054">
        <w:rPr>
          <w:rFonts w:ascii="Arial" w:hAnsi="Arial" w:cs="Arial"/>
          <w:noProof/>
          <w:sz w:val="22"/>
          <w:szCs w:val="22"/>
          <w:lang w:val="pt-BR"/>
        </w:rPr>
        <w:t xml:space="preserve">, sendo </w:t>
      </w:r>
      <w:r w:rsidR="00EE433B" w:rsidRPr="007F1054">
        <w:rPr>
          <w:rFonts w:ascii="Arial" w:hAnsi="Arial" w:cs="Arial"/>
          <w:noProof/>
          <w:sz w:val="22"/>
          <w:szCs w:val="22"/>
          <w:lang w:val="pt-BR"/>
        </w:rPr>
        <w:t>utilizados</w:t>
      </w:r>
      <w:r w:rsidR="00C05F32" w:rsidRPr="007F1054">
        <w:rPr>
          <w:rFonts w:ascii="Arial" w:hAnsi="Arial" w:cs="Arial"/>
          <w:noProof/>
          <w:sz w:val="22"/>
          <w:szCs w:val="22"/>
          <w:lang w:val="pt-BR"/>
        </w:rPr>
        <w:t xml:space="preserve"> 100 kg de 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>N.</w:t>
      </w:r>
      <w:r w:rsidR="00A02788" w:rsidRPr="007F1054">
        <w:rPr>
          <w:rFonts w:ascii="Arial" w:eastAsia="Arial" w:hAnsi="Arial" w:cs="Arial"/>
          <w:noProof/>
          <w:sz w:val="22"/>
          <w:szCs w:val="22"/>
          <w:lang w:val="pt-BR"/>
        </w:rPr>
        <w:t>ha</w:t>
      </w:r>
      <w:r w:rsidR="00A02788" w:rsidRPr="001E23B7">
        <w:rPr>
          <w:rFonts w:ascii="Arial" w:eastAsia="Arial" w:hAnsi="Arial" w:cs="Arial"/>
          <w:noProof/>
          <w:sz w:val="22"/>
          <w:szCs w:val="22"/>
          <w:vertAlign w:val="superscript"/>
          <w:lang w:val="pt-BR"/>
        </w:rPr>
        <w:t>-1</w:t>
      </w:r>
      <w:r w:rsidR="00C05F32" w:rsidRPr="007F1054">
        <w:rPr>
          <w:rFonts w:ascii="Arial" w:hAnsi="Arial" w:cs="Arial"/>
          <w:noProof/>
          <w:sz w:val="22"/>
          <w:szCs w:val="22"/>
          <w:lang w:val="pt-BR"/>
        </w:rPr>
        <w:t xml:space="preserve">em duas aplicações, uma no perfilhamento e </w:t>
      </w:r>
      <w:r w:rsidR="00C05F32" w:rsidRPr="007F1054">
        <w:rPr>
          <w:rFonts w:ascii="Arial" w:hAnsi="Arial" w:cs="Arial"/>
          <w:noProof/>
          <w:sz w:val="22"/>
          <w:szCs w:val="22"/>
          <w:lang w:val="pt-BR"/>
        </w:rPr>
        <w:lastRenderedPageBreak/>
        <w:t>outra após o primeiro corte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. Os produtos foram aplicados por aspersão, 3,0 L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>.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ha</w:t>
      </w:r>
      <w:r w:rsidRPr="007F1054">
        <w:rPr>
          <w:rFonts w:ascii="Arial" w:hAnsi="Arial" w:cs="Arial"/>
          <w:noProof/>
          <w:sz w:val="22"/>
          <w:szCs w:val="22"/>
          <w:vertAlign w:val="superscript"/>
          <w:lang w:val="pt-BR"/>
        </w:rPr>
        <w:t>-1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misturados com água e aplicado em um volume de aproximadamente 150 litros por hectare. Semanalmente ocorreram medições das alturas de todas as parcelas. 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 xml:space="preserve">As avaliações foram realizadas sempre que as parcelas atingiam 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30 cm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>, simulando o manejo em lotação intermitente. Para a coleta das amostras, foi utilizado uma moldura de 0,25</w:t>
      </w:r>
      <w:r w:rsidR="00A02788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>m², posicionada na média da altura da parcela e toda a forragem contida dentro foi cortada em dois estratos, um sendo de 30 a 15 cm, representando o estrato superior ou pastejável e outra amostra, no mesmo local, o estrato inferior ou resíduo.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As amostras foram 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>colocadas em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sacos plásticos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 xml:space="preserve"> e levadas ao laboratório</w:t>
      </w:r>
      <w:r w:rsidR="001E23B7" w:rsidRPr="007F1054">
        <w:rPr>
          <w:rFonts w:ascii="Arial" w:hAnsi="Arial" w:cs="Arial"/>
          <w:noProof/>
          <w:sz w:val="22"/>
          <w:szCs w:val="22"/>
          <w:lang w:val="pt-BR"/>
        </w:rPr>
        <w:t xml:space="preserve"> da Fazenda Experimental Agropecuária da UFSC</w:t>
      </w:r>
      <w:r w:rsidR="008A39B4">
        <w:rPr>
          <w:rFonts w:ascii="Arial" w:hAnsi="Arial" w:cs="Arial"/>
          <w:noProof/>
          <w:sz w:val="22"/>
          <w:szCs w:val="22"/>
          <w:lang w:val="pt-BR"/>
        </w:rPr>
        <w:t>, onde foram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pesadas,</w:t>
      </w:r>
      <w:r w:rsidR="001E23B7">
        <w:rPr>
          <w:rFonts w:ascii="Arial" w:hAnsi="Arial" w:cs="Arial"/>
          <w:noProof/>
          <w:sz w:val="22"/>
          <w:szCs w:val="22"/>
          <w:lang w:val="pt-BR"/>
        </w:rPr>
        <w:t xml:space="preserve"> após a pesagem foram realizadas 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duas subamostras. Destas, uma subamostra de cada parcela</w:t>
      </w:r>
      <w:r w:rsidR="001E23B7">
        <w:rPr>
          <w:rFonts w:ascii="Arial" w:hAnsi="Arial" w:cs="Arial"/>
          <w:noProof/>
          <w:sz w:val="22"/>
          <w:szCs w:val="22"/>
          <w:lang w:val="pt-BR"/>
        </w:rPr>
        <w:t xml:space="preserve"> e de cada estrato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foi pesada e colocada em estufa, para secagem a temperatura de 65º Celsius por 72 horas, e novamente pesadas para a determinação da </w:t>
      </w:r>
      <w:r w:rsidR="00C05F32" w:rsidRPr="007F1054">
        <w:rPr>
          <w:rFonts w:ascii="Arial" w:hAnsi="Arial" w:cs="Arial"/>
          <w:noProof/>
          <w:sz w:val="22"/>
          <w:szCs w:val="22"/>
          <w:lang w:val="pt-BR"/>
        </w:rPr>
        <w:t xml:space="preserve">porcentagem de 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matéria seca. A outra subamostra, </w:t>
      </w:r>
      <w:r w:rsidR="00C05F32" w:rsidRPr="007F1054">
        <w:rPr>
          <w:rFonts w:ascii="Arial" w:hAnsi="Arial" w:cs="Arial"/>
          <w:noProof/>
          <w:sz w:val="22"/>
          <w:szCs w:val="22"/>
          <w:lang w:val="pt-BR"/>
        </w:rPr>
        <w:t xml:space="preserve">foi usada 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para a separação morfológica e determinação d</w:t>
      </w:r>
      <w:r w:rsidR="00C05F32" w:rsidRPr="007F1054">
        <w:rPr>
          <w:rFonts w:ascii="Arial" w:hAnsi="Arial" w:cs="Arial"/>
          <w:noProof/>
          <w:sz w:val="22"/>
          <w:szCs w:val="22"/>
          <w:lang w:val="pt-BR"/>
        </w:rPr>
        <w:t xml:space="preserve">a 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>p</w:t>
      </w:r>
      <w:r w:rsidR="00C05F32" w:rsidRPr="007F1054">
        <w:rPr>
          <w:rFonts w:ascii="Arial" w:hAnsi="Arial" w:cs="Arial"/>
          <w:noProof/>
          <w:sz w:val="22"/>
          <w:szCs w:val="22"/>
          <w:lang w:val="pt-BR"/>
        </w:rPr>
        <w:t>orcentagem de</w:t>
      </w: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 folha, colmo e material morto</w:t>
      </w:r>
      <w:r w:rsidR="00281D97" w:rsidRPr="007F1054">
        <w:rPr>
          <w:rFonts w:ascii="Arial" w:hAnsi="Arial" w:cs="Arial"/>
          <w:noProof/>
          <w:sz w:val="22"/>
          <w:szCs w:val="22"/>
          <w:lang w:val="pt-BR"/>
        </w:rPr>
        <w:t>, também secas em estufa.</w:t>
      </w:r>
      <w:r w:rsidR="00281D97"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 </w:t>
      </w:r>
      <w:r w:rsidRPr="007F1054">
        <w:rPr>
          <w:rFonts w:ascii="Arial" w:eastAsia="Arial" w:hAnsi="Arial" w:cs="Arial"/>
          <w:noProof/>
          <w:sz w:val="22"/>
          <w:szCs w:val="22"/>
          <w:lang w:val="pt-BR"/>
        </w:rPr>
        <w:t>A partir dos dados coletados</w:t>
      </w:r>
      <w:r w:rsidR="00281D97"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 foi possível calcular:</w:t>
      </w:r>
      <w:r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 </w:t>
      </w:r>
      <w:r w:rsidR="00C73B4B" w:rsidRPr="007F1054">
        <w:rPr>
          <w:rFonts w:ascii="Arial" w:eastAsia="Arial" w:hAnsi="Arial" w:cs="Arial"/>
          <w:noProof/>
          <w:sz w:val="22"/>
          <w:szCs w:val="22"/>
          <w:lang w:val="pt-BR"/>
        </w:rPr>
        <w:t>produção de forragem total</w:t>
      </w:r>
      <w:r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, acúmulo </w:t>
      </w:r>
      <w:r w:rsidR="00C73B4B" w:rsidRPr="007F1054">
        <w:rPr>
          <w:rFonts w:ascii="Arial" w:eastAsia="Arial" w:hAnsi="Arial" w:cs="Arial"/>
          <w:noProof/>
          <w:sz w:val="22"/>
          <w:szCs w:val="22"/>
          <w:lang w:val="pt-BR"/>
        </w:rPr>
        <w:t>médio</w:t>
      </w:r>
      <w:r w:rsidR="007A5689"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 (estrato superior),</w:t>
      </w:r>
      <w:r w:rsidR="00281D97"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 </w:t>
      </w:r>
      <w:r w:rsidR="007A5689"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acúmulo </w:t>
      </w:r>
      <w:r w:rsidR="00281D97" w:rsidRPr="007F1054">
        <w:rPr>
          <w:rFonts w:ascii="Arial" w:eastAsia="Arial" w:hAnsi="Arial" w:cs="Arial"/>
          <w:noProof/>
          <w:sz w:val="22"/>
          <w:szCs w:val="22"/>
          <w:lang w:val="pt-BR"/>
        </w:rPr>
        <w:t>de folhas e de colmos em</w:t>
      </w:r>
      <w:r w:rsidR="001E23B7">
        <w:rPr>
          <w:rFonts w:ascii="Arial" w:eastAsia="Arial" w:hAnsi="Arial" w:cs="Arial"/>
          <w:noProof/>
          <w:sz w:val="22"/>
          <w:szCs w:val="22"/>
          <w:lang w:val="pt-BR"/>
        </w:rPr>
        <w:t xml:space="preserve"> kg de MS.</w:t>
      </w:r>
      <w:r w:rsidRPr="007F1054">
        <w:rPr>
          <w:rFonts w:ascii="Arial" w:eastAsia="Arial" w:hAnsi="Arial" w:cs="Arial"/>
          <w:noProof/>
          <w:sz w:val="22"/>
          <w:szCs w:val="22"/>
          <w:lang w:val="pt-BR"/>
        </w:rPr>
        <w:t>ha</w:t>
      </w:r>
      <w:bookmarkStart w:id="2" w:name="_heading=h.gjdgxs" w:colFirst="0" w:colLast="0"/>
      <w:bookmarkEnd w:id="2"/>
      <w:r w:rsidR="001E23B7" w:rsidRPr="001E23B7">
        <w:rPr>
          <w:rFonts w:ascii="Arial" w:eastAsia="Arial" w:hAnsi="Arial" w:cs="Arial"/>
          <w:noProof/>
          <w:sz w:val="22"/>
          <w:szCs w:val="22"/>
          <w:vertAlign w:val="superscript"/>
          <w:lang w:val="pt-BR"/>
        </w:rPr>
        <w:t>-1</w:t>
      </w:r>
      <w:r w:rsidRPr="007F1054">
        <w:rPr>
          <w:rFonts w:ascii="Arial" w:eastAsia="Arial" w:hAnsi="Arial" w:cs="Arial"/>
          <w:noProof/>
          <w:sz w:val="22"/>
          <w:szCs w:val="22"/>
          <w:lang w:val="pt-BR"/>
        </w:rPr>
        <w:t>.</w:t>
      </w:r>
      <w:r w:rsidR="00281D97"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 </w:t>
      </w:r>
      <w:r w:rsidRPr="007F1054">
        <w:rPr>
          <w:rFonts w:ascii="Arial" w:eastAsia="Arial" w:hAnsi="Arial" w:cs="Arial"/>
          <w:noProof/>
          <w:sz w:val="22"/>
          <w:szCs w:val="22"/>
          <w:lang w:val="pt-BR"/>
        </w:rPr>
        <w:t>Os dados foram submetidos a análise de variância (ANOVA). Quando encontrada diferença significativa entre os tratamentos, as médias foram classificadas pelo teste Scott-Knott com significância de 5%, usando o software SISVAR.</w:t>
      </w:r>
    </w:p>
    <w:p w14:paraId="5EEBF1D8" w14:textId="77777777" w:rsidR="003077DC" w:rsidRPr="007F1054" w:rsidRDefault="003077DC" w:rsidP="003077DC">
      <w:pPr>
        <w:pStyle w:val="LO-normal"/>
        <w:jc w:val="both"/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</w:pPr>
    </w:p>
    <w:p w14:paraId="1CA9C2B0" w14:textId="21C15CDF" w:rsidR="003077DC" w:rsidRPr="007F1054" w:rsidRDefault="003077DC" w:rsidP="003077DC">
      <w:pPr>
        <w:pStyle w:val="LO-normal"/>
        <w:jc w:val="both"/>
        <w:rPr>
          <w:rFonts w:ascii="Times New Roman" w:eastAsia="Times New Roman" w:hAnsi="Times New Roman" w:cs="Times New Roman"/>
          <w:noProof/>
          <w:color w:val="000000"/>
          <w:sz w:val="22"/>
          <w:szCs w:val="22"/>
          <w:u w:color="000000"/>
          <w:lang w:val="pt-BR"/>
        </w:rPr>
      </w:pPr>
      <w:r w:rsidRPr="007F1054">
        <w:rPr>
          <w:rFonts w:ascii="Arial" w:hAnsi="Arial"/>
          <w:b/>
          <w:bCs/>
          <w:noProof/>
          <w:color w:val="000000"/>
          <w:sz w:val="22"/>
          <w:szCs w:val="22"/>
          <w:u w:color="000000"/>
          <w:lang w:val="pt-BR"/>
        </w:rPr>
        <w:t>Resultados e discuss</w:t>
      </w:r>
      <w:r w:rsidR="00F97724">
        <w:rPr>
          <w:rFonts w:ascii="Arial" w:hAnsi="Arial"/>
          <w:b/>
          <w:bCs/>
          <w:noProof/>
          <w:color w:val="000000"/>
          <w:sz w:val="22"/>
          <w:szCs w:val="22"/>
          <w:u w:color="000000"/>
          <w:lang w:val="pt-BR"/>
        </w:rPr>
        <w:t>ão</w:t>
      </w:r>
      <w:r w:rsidRPr="007F1054">
        <w:rPr>
          <w:rFonts w:ascii="Arial" w:hAnsi="Arial"/>
          <w:b/>
          <w:bCs/>
          <w:noProof/>
          <w:color w:val="000000"/>
          <w:sz w:val="22"/>
          <w:szCs w:val="22"/>
          <w:u w:color="000000"/>
          <w:lang w:val="pt-BR"/>
        </w:rPr>
        <w:t>:</w:t>
      </w: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</w:t>
      </w:r>
      <w:r w:rsidR="00281D97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foi possível realizar três cortes com intervalos de cerca de 14 dias, independente do tratamento empregado</w:t>
      </w:r>
      <w:r w:rsidR="00EE433B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. A média de altura dos tratamentos ficou em 30 cm.</w:t>
      </w:r>
      <w:r w:rsidR="00BA4A5D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</w:t>
      </w:r>
      <w:r w:rsidR="00281D97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N</w:t>
      </w:r>
      <w:r w:rsidR="00BA4A5D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ão houve diferenças significativas</w:t>
      </w:r>
      <w:r w:rsidR="00281D97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para as variáveis a</w:t>
      </w:r>
      <w:r w:rsidR="00D43CB6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nalisadas (tabela 1). A média da produção total de forragem foi de 5.268,30</w:t>
      </w:r>
      <w:r w:rsidR="00F9772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</w:t>
      </w:r>
      <w:r w:rsidR="00F97724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kg de MS</w:t>
      </w:r>
      <w:r w:rsidR="00A02788">
        <w:rPr>
          <w:rFonts w:ascii="Arial" w:eastAsia="Arial" w:hAnsi="Arial" w:cs="Arial"/>
          <w:noProof/>
          <w:sz w:val="22"/>
          <w:szCs w:val="22"/>
          <w:lang w:val="pt-BR"/>
        </w:rPr>
        <w:t>.</w:t>
      </w:r>
      <w:r w:rsidR="00A02788" w:rsidRPr="007F1054">
        <w:rPr>
          <w:rFonts w:ascii="Arial" w:eastAsia="Arial" w:hAnsi="Arial" w:cs="Arial"/>
          <w:noProof/>
          <w:sz w:val="22"/>
          <w:szCs w:val="22"/>
          <w:lang w:val="pt-BR"/>
        </w:rPr>
        <w:t>ha</w:t>
      </w:r>
      <w:r w:rsidR="00A02788" w:rsidRPr="001E23B7">
        <w:rPr>
          <w:rFonts w:ascii="Arial" w:eastAsia="Arial" w:hAnsi="Arial" w:cs="Arial"/>
          <w:noProof/>
          <w:sz w:val="22"/>
          <w:szCs w:val="22"/>
          <w:vertAlign w:val="superscript"/>
          <w:lang w:val="pt-BR"/>
        </w:rPr>
        <w:t>-1</w:t>
      </w:r>
      <w:r w:rsidR="00D43CB6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e do</w:t>
      </w:r>
      <w:r w:rsidR="00281D97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acúmulo</w:t>
      </w:r>
      <w:r w:rsidR="00D43CB6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médio entre os três cortes (estrato superior)</w:t>
      </w:r>
      <w:r w:rsidR="00281D97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foi de </w:t>
      </w:r>
      <w:r w:rsidR="00BA4A5D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1.836 kg</w:t>
      </w:r>
      <w:r w:rsidR="00281D97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de MS</w:t>
      </w:r>
      <w:r w:rsidR="00A02788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.</w:t>
      </w:r>
      <w:r w:rsidR="00A02788" w:rsidRPr="007F1054">
        <w:rPr>
          <w:rFonts w:ascii="Arial" w:eastAsia="Arial" w:hAnsi="Arial" w:cs="Arial"/>
          <w:noProof/>
          <w:sz w:val="22"/>
          <w:szCs w:val="22"/>
          <w:lang w:val="pt-BR"/>
        </w:rPr>
        <w:t>ha</w:t>
      </w:r>
      <w:r w:rsidR="00A02788" w:rsidRPr="001E23B7">
        <w:rPr>
          <w:rFonts w:ascii="Arial" w:eastAsia="Arial" w:hAnsi="Arial" w:cs="Arial"/>
          <w:noProof/>
          <w:sz w:val="22"/>
          <w:szCs w:val="22"/>
          <w:vertAlign w:val="superscript"/>
          <w:lang w:val="pt-BR"/>
        </w:rPr>
        <w:t>-1</w:t>
      </w:r>
      <w:r w:rsidR="00BA4A5D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,</w:t>
      </w:r>
      <w:r w:rsidR="00281D97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deste valor foi observado uma média de 1.417,54 kg de MS de folhas</w:t>
      </w:r>
      <w:r w:rsidR="00A02788">
        <w:rPr>
          <w:rFonts w:ascii="Arial" w:eastAsia="Arial" w:hAnsi="Arial" w:cs="Arial"/>
          <w:noProof/>
          <w:sz w:val="22"/>
          <w:szCs w:val="22"/>
          <w:lang w:val="pt-BR"/>
        </w:rPr>
        <w:t>.</w:t>
      </w:r>
      <w:r w:rsidR="00A02788" w:rsidRPr="007F1054">
        <w:rPr>
          <w:rFonts w:ascii="Arial" w:eastAsia="Arial" w:hAnsi="Arial" w:cs="Arial"/>
          <w:noProof/>
          <w:sz w:val="22"/>
          <w:szCs w:val="22"/>
          <w:lang w:val="pt-BR"/>
        </w:rPr>
        <w:t>ha</w:t>
      </w:r>
      <w:r w:rsidR="00A02788" w:rsidRPr="001E23B7">
        <w:rPr>
          <w:rFonts w:ascii="Arial" w:eastAsia="Arial" w:hAnsi="Arial" w:cs="Arial"/>
          <w:noProof/>
          <w:sz w:val="22"/>
          <w:szCs w:val="22"/>
          <w:vertAlign w:val="superscript"/>
          <w:lang w:val="pt-BR"/>
        </w:rPr>
        <w:t>-1</w:t>
      </w:r>
    </w:p>
    <w:p w14:paraId="25D13AB8" w14:textId="0C9B2B6A" w:rsidR="003B6FA9" w:rsidRPr="007F1054" w:rsidRDefault="003077DC" w:rsidP="00600E55">
      <w:pPr>
        <w:pStyle w:val="LO-normal"/>
        <w:spacing w:before="240" w:after="120" w:line="276" w:lineRule="auto"/>
        <w:ind w:left="20"/>
        <w:jc w:val="both"/>
        <w:rPr>
          <w:rFonts w:ascii="Arial" w:hAnsi="Arial"/>
          <w:b/>
          <w:bCs/>
          <w:noProof/>
          <w:color w:val="000000"/>
          <w:sz w:val="20"/>
          <w:szCs w:val="20"/>
          <w:u w:color="000000"/>
          <w:lang w:val="pt-BR"/>
        </w:rPr>
      </w:pPr>
      <w:r w:rsidRPr="007F1054">
        <w:rPr>
          <w:rFonts w:ascii="Arial" w:hAnsi="Arial"/>
          <w:b/>
          <w:bCs/>
          <w:noProof/>
          <w:color w:val="000000"/>
          <w:sz w:val="20"/>
          <w:szCs w:val="20"/>
          <w:u w:color="000000"/>
          <w:lang w:val="pt-BR"/>
        </w:rPr>
        <w:t xml:space="preserve">Tabela 1. </w:t>
      </w:r>
      <w:r w:rsidR="00D43CB6" w:rsidRPr="007F1054">
        <w:rPr>
          <w:rFonts w:ascii="Arial" w:hAnsi="Arial"/>
          <w:b/>
          <w:bCs/>
          <w:noProof/>
          <w:color w:val="000000"/>
          <w:sz w:val="20"/>
          <w:szCs w:val="20"/>
          <w:u w:color="000000"/>
          <w:lang w:val="pt-BR"/>
        </w:rPr>
        <w:t>P</w:t>
      </w:r>
      <w:r w:rsidR="007A5689" w:rsidRPr="007F1054">
        <w:rPr>
          <w:rFonts w:ascii="Arial" w:hAnsi="Arial"/>
          <w:b/>
          <w:bCs/>
          <w:noProof/>
          <w:color w:val="000000"/>
          <w:sz w:val="20"/>
          <w:szCs w:val="20"/>
          <w:u w:color="000000"/>
          <w:lang w:val="pt-BR"/>
        </w:rPr>
        <w:t xml:space="preserve">rodução de forragem e acúmulo de </w:t>
      </w:r>
      <w:r w:rsidR="00281D97" w:rsidRPr="007F1054">
        <w:rPr>
          <w:rFonts w:ascii="Arial" w:hAnsi="Arial"/>
          <w:b/>
          <w:bCs/>
          <w:noProof/>
          <w:color w:val="000000"/>
          <w:sz w:val="20"/>
          <w:szCs w:val="20"/>
          <w:u w:color="000000"/>
          <w:lang w:val="pt-BR"/>
        </w:rPr>
        <w:t>folhas e colmos em pastos de aveia preta pulverizados com ácidos húmicos e fú</w:t>
      </w:r>
      <w:r w:rsidR="00AF40DE" w:rsidRPr="007F1054">
        <w:rPr>
          <w:rFonts w:ascii="Arial" w:hAnsi="Arial"/>
          <w:b/>
          <w:bCs/>
          <w:noProof/>
          <w:color w:val="000000"/>
          <w:sz w:val="20"/>
          <w:szCs w:val="20"/>
          <w:u w:color="000000"/>
          <w:lang w:val="pt-BR"/>
        </w:rPr>
        <w:t>l</w:t>
      </w:r>
      <w:r w:rsidR="00281D97" w:rsidRPr="007F1054">
        <w:rPr>
          <w:rFonts w:ascii="Arial" w:hAnsi="Arial"/>
          <w:b/>
          <w:bCs/>
          <w:noProof/>
          <w:color w:val="000000"/>
          <w:sz w:val="20"/>
          <w:szCs w:val="20"/>
          <w:u w:color="000000"/>
          <w:lang w:val="pt-BR"/>
        </w:rPr>
        <w:t>vicos, aminoácidos e fito-hormônios.</w:t>
      </w:r>
      <w:r w:rsidR="00621B93" w:rsidRPr="007F1054">
        <w:rPr>
          <w:rFonts w:ascii="Arial" w:hAnsi="Arial"/>
          <w:b/>
          <w:bCs/>
          <w:noProof/>
          <w:color w:val="000000"/>
          <w:sz w:val="20"/>
          <w:szCs w:val="20"/>
          <w:u w:color="000000"/>
          <w:lang w:val="pt-BR"/>
        </w:rPr>
        <w:t xml:space="preserve"> </w:t>
      </w:r>
      <w:r w:rsidR="003B6FA9" w:rsidRPr="007F1054">
        <w:rPr>
          <w:rFonts w:ascii="Arial" w:hAnsi="Arial"/>
          <w:b/>
          <w:bCs/>
          <w:noProof/>
          <w:color w:val="000000"/>
          <w:sz w:val="20"/>
          <w:szCs w:val="20"/>
          <w:u w:color="000000"/>
          <w:lang w:val="pt-BR"/>
        </w:rPr>
        <w:t xml:space="preserve"> 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807"/>
        <w:gridCol w:w="1804"/>
        <w:gridCol w:w="1804"/>
        <w:gridCol w:w="1804"/>
      </w:tblGrid>
      <w:tr w:rsidR="002E563C" w:rsidRPr="007F1054" w14:paraId="5F98F345" w14:textId="77777777" w:rsidTr="002E563C">
        <w:tc>
          <w:tcPr>
            <w:tcW w:w="1752" w:type="dxa"/>
            <w:vMerge w:val="restart"/>
            <w:vAlign w:val="center"/>
          </w:tcPr>
          <w:p w14:paraId="10F50C9A" w14:textId="0172CF8E" w:rsidR="002E563C" w:rsidRPr="007F1054" w:rsidRDefault="002E563C" w:rsidP="002E563C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  <w:t>Tratamentos</w:t>
            </w:r>
          </w:p>
        </w:tc>
        <w:tc>
          <w:tcPr>
            <w:tcW w:w="7364" w:type="dxa"/>
            <w:gridSpan w:val="4"/>
            <w:tcBorders>
              <w:bottom w:val="single" w:sz="4" w:space="0" w:color="auto"/>
            </w:tcBorders>
            <w:vAlign w:val="center"/>
          </w:tcPr>
          <w:p w14:paraId="3F70A5E4" w14:textId="4E3451BB" w:rsidR="002E563C" w:rsidRPr="007F1054" w:rsidRDefault="002E563C" w:rsidP="001E23B7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  <w:t>Variáveis</w:t>
            </w:r>
            <w:r w:rsidR="001E23B7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  <w:t xml:space="preserve"> </w:t>
            </w:r>
            <w:r w:rsidRPr="007F1054">
              <w:rPr>
                <w:rFonts w:ascii="Arial" w:eastAsia="Arial" w:hAnsi="Arial" w:cs="Arial"/>
                <w:b/>
                <w:noProof/>
                <w:sz w:val="20"/>
                <w:szCs w:val="20"/>
                <w:lang w:val="pt-BR"/>
              </w:rPr>
              <w:t>(kg de MS</w:t>
            </w:r>
            <w:r w:rsidR="00A02788">
              <w:rPr>
                <w:rFonts w:ascii="Arial" w:eastAsia="Arial" w:hAnsi="Arial" w:cs="Arial"/>
                <w:b/>
                <w:noProof/>
                <w:sz w:val="20"/>
                <w:szCs w:val="20"/>
                <w:lang w:val="pt-BR"/>
              </w:rPr>
              <w:t>.</w:t>
            </w:r>
            <w:r w:rsidR="00A02788" w:rsidRPr="00A0278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pt-BR"/>
              </w:rPr>
              <w:t>ha</w:t>
            </w:r>
            <w:r w:rsidR="00A02788" w:rsidRPr="00A0278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vertAlign w:val="superscript"/>
                <w:lang w:val="pt-BR"/>
              </w:rPr>
              <w:t>-1</w:t>
            </w:r>
            <w:r w:rsidRPr="007F1054">
              <w:rPr>
                <w:rFonts w:ascii="Arial" w:eastAsia="Arial" w:hAnsi="Arial" w:cs="Arial"/>
                <w:b/>
                <w:noProof/>
                <w:sz w:val="20"/>
                <w:szCs w:val="20"/>
                <w:lang w:val="pt-BR"/>
              </w:rPr>
              <w:t>)</w:t>
            </w:r>
          </w:p>
        </w:tc>
      </w:tr>
      <w:tr w:rsidR="002E563C" w:rsidRPr="007F1054" w14:paraId="4C9CF127" w14:textId="77777777" w:rsidTr="002E563C">
        <w:tc>
          <w:tcPr>
            <w:tcW w:w="1752" w:type="dxa"/>
            <w:vMerge/>
            <w:tcBorders>
              <w:bottom w:val="single" w:sz="4" w:space="0" w:color="auto"/>
            </w:tcBorders>
          </w:tcPr>
          <w:p w14:paraId="09B976EF" w14:textId="77777777" w:rsidR="002E563C" w:rsidRPr="007F1054" w:rsidRDefault="002E563C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472A3" w14:textId="102D1122" w:rsidR="002E563C" w:rsidRPr="007F1054" w:rsidRDefault="00D43CB6" w:rsidP="002E563C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  <w:t>Produção de forragem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E9973" w14:textId="7122EB5F" w:rsidR="002E563C" w:rsidRPr="007F1054" w:rsidRDefault="002E563C" w:rsidP="002E563C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  <w:t>Acúmulo médio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C07E" w14:textId="1E246CB8" w:rsidR="002E563C" w:rsidRPr="007F1054" w:rsidRDefault="002E563C" w:rsidP="002E563C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  <w:t>Acúmulo de folhas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29B50" w14:textId="25F07759" w:rsidR="002E563C" w:rsidRPr="007F1054" w:rsidRDefault="002E563C" w:rsidP="002E563C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  <w:t>Acúmulo de colmos</w:t>
            </w:r>
          </w:p>
        </w:tc>
      </w:tr>
      <w:tr w:rsidR="00D43CB6" w:rsidRPr="007F1054" w14:paraId="21E9FF12" w14:textId="77777777" w:rsidTr="002E563C">
        <w:tc>
          <w:tcPr>
            <w:tcW w:w="1752" w:type="dxa"/>
            <w:tcBorders>
              <w:top w:val="single" w:sz="4" w:space="0" w:color="auto"/>
              <w:bottom w:val="nil"/>
            </w:tcBorders>
          </w:tcPr>
          <w:p w14:paraId="3BDC3BA3" w14:textId="01A77C13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bCs/>
                <w:noProof/>
                <w:sz w:val="20"/>
                <w:szCs w:val="20"/>
                <w:lang w:val="pt-BR"/>
              </w:rPr>
              <w:t>T1</w:t>
            </w:r>
          </w:p>
        </w:tc>
        <w:tc>
          <w:tcPr>
            <w:tcW w:w="1841" w:type="dxa"/>
            <w:tcBorders>
              <w:top w:val="single" w:sz="4" w:space="0" w:color="auto"/>
              <w:bottom w:val="nil"/>
            </w:tcBorders>
          </w:tcPr>
          <w:p w14:paraId="0AE8A739" w14:textId="084C1043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4.941,96</w:t>
            </w:r>
          </w:p>
        </w:tc>
        <w:tc>
          <w:tcPr>
            <w:tcW w:w="1841" w:type="dxa"/>
            <w:tcBorders>
              <w:top w:val="single" w:sz="4" w:space="0" w:color="auto"/>
              <w:bottom w:val="nil"/>
            </w:tcBorders>
          </w:tcPr>
          <w:p w14:paraId="1A63E25E" w14:textId="7B60EB05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1.747,00</w:t>
            </w:r>
          </w:p>
        </w:tc>
        <w:tc>
          <w:tcPr>
            <w:tcW w:w="1841" w:type="dxa"/>
            <w:tcBorders>
              <w:top w:val="single" w:sz="4" w:space="0" w:color="auto"/>
              <w:bottom w:val="nil"/>
            </w:tcBorders>
          </w:tcPr>
          <w:p w14:paraId="04EFED85" w14:textId="6DB10818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1.393,24</w:t>
            </w:r>
          </w:p>
        </w:tc>
        <w:tc>
          <w:tcPr>
            <w:tcW w:w="1841" w:type="dxa"/>
            <w:tcBorders>
              <w:top w:val="single" w:sz="4" w:space="0" w:color="auto"/>
              <w:bottom w:val="nil"/>
            </w:tcBorders>
          </w:tcPr>
          <w:p w14:paraId="0377B1BB" w14:textId="3B906D7A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354,70</w:t>
            </w:r>
          </w:p>
        </w:tc>
      </w:tr>
      <w:tr w:rsidR="00D43CB6" w:rsidRPr="007F1054" w14:paraId="037E695E" w14:textId="77777777" w:rsidTr="002E563C">
        <w:tc>
          <w:tcPr>
            <w:tcW w:w="1752" w:type="dxa"/>
            <w:tcBorders>
              <w:top w:val="nil"/>
            </w:tcBorders>
          </w:tcPr>
          <w:p w14:paraId="28EB087E" w14:textId="2EC4C101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bCs/>
                <w:noProof/>
                <w:sz w:val="20"/>
                <w:szCs w:val="20"/>
                <w:lang w:val="pt-BR"/>
              </w:rPr>
              <w:t>T2</w:t>
            </w:r>
          </w:p>
        </w:tc>
        <w:tc>
          <w:tcPr>
            <w:tcW w:w="1841" w:type="dxa"/>
            <w:tcBorders>
              <w:top w:val="nil"/>
            </w:tcBorders>
          </w:tcPr>
          <w:p w14:paraId="5BB19107" w14:textId="69187FF4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5.097,72</w:t>
            </w:r>
          </w:p>
        </w:tc>
        <w:tc>
          <w:tcPr>
            <w:tcW w:w="1841" w:type="dxa"/>
            <w:tcBorders>
              <w:top w:val="nil"/>
            </w:tcBorders>
          </w:tcPr>
          <w:p w14:paraId="4615AFC8" w14:textId="50251C78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1.811,18</w:t>
            </w:r>
          </w:p>
        </w:tc>
        <w:tc>
          <w:tcPr>
            <w:tcW w:w="1841" w:type="dxa"/>
            <w:tcBorders>
              <w:top w:val="nil"/>
            </w:tcBorders>
          </w:tcPr>
          <w:p w14:paraId="49055742" w14:textId="22485B38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1.399,10</w:t>
            </w:r>
          </w:p>
        </w:tc>
        <w:tc>
          <w:tcPr>
            <w:tcW w:w="1841" w:type="dxa"/>
            <w:tcBorders>
              <w:top w:val="nil"/>
            </w:tcBorders>
          </w:tcPr>
          <w:p w14:paraId="6CF16361" w14:textId="4CE038F4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412,08</w:t>
            </w:r>
          </w:p>
        </w:tc>
      </w:tr>
      <w:tr w:rsidR="00D43CB6" w:rsidRPr="007F1054" w14:paraId="45AD769D" w14:textId="77777777" w:rsidTr="002E563C">
        <w:tc>
          <w:tcPr>
            <w:tcW w:w="1752" w:type="dxa"/>
          </w:tcPr>
          <w:p w14:paraId="239CE8A2" w14:textId="50F5B8AA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bCs/>
                <w:noProof/>
                <w:sz w:val="20"/>
                <w:szCs w:val="20"/>
                <w:lang w:val="pt-BR"/>
              </w:rPr>
              <w:t>T3</w:t>
            </w:r>
          </w:p>
        </w:tc>
        <w:tc>
          <w:tcPr>
            <w:tcW w:w="1841" w:type="dxa"/>
          </w:tcPr>
          <w:p w14:paraId="55954C24" w14:textId="6BF19485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5.948,05</w:t>
            </w:r>
          </w:p>
        </w:tc>
        <w:tc>
          <w:tcPr>
            <w:tcW w:w="1841" w:type="dxa"/>
          </w:tcPr>
          <w:p w14:paraId="5B96F13F" w14:textId="3AC218F6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2.043,86</w:t>
            </w:r>
          </w:p>
        </w:tc>
        <w:tc>
          <w:tcPr>
            <w:tcW w:w="1841" w:type="dxa"/>
          </w:tcPr>
          <w:p w14:paraId="48B1D481" w14:textId="4A3E1597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1.605,31</w:t>
            </w:r>
          </w:p>
        </w:tc>
        <w:tc>
          <w:tcPr>
            <w:tcW w:w="1841" w:type="dxa"/>
          </w:tcPr>
          <w:p w14:paraId="693231CD" w14:textId="4ACF1C85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438,54</w:t>
            </w:r>
          </w:p>
        </w:tc>
      </w:tr>
      <w:tr w:rsidR="00D43CB6" w:rsidRPr="007F1054" w14:paraId="21FD86D6" w14:textId="77777777" w:rsidTr="002E563C">
        <w:tc>
          <w:tcPr>
            <w:tcW w:w="1752" w:type="dxa"/>
            <w:tcBorders>
              <w:bottom w:val="single" w:sz="4" w:space="0" w:color="auto"/>
            </w:tcBorders>
          </w:tcPr>
          <w:p w14:paraId="2AAC4984" w14:textId="0685EBEB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bCs/>
                <w:noProof/>
                <w:sz w:val="20"/>
                <w:szCs w:val="20"/>
                <w:lang w:val="pt-BR"/>
              </w:rPr>
              <w:t>T4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E8D16AF" w14:textId="2DDBAD33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5.085,45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75AC0738" w14:textId="43446863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1.743,91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639DF2C4" w14:textId="4FB7CA14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1.272,52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D773A1F" w14:textId="58D030C3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noProof/>
                <w:sz w:val="20"/>
                <w:szCs w:val="20"/>
                <w:lang w:val="pt-BR"/>
              </w:rPr>
              <w:t>471,38</w:t>
            </w:r>
          </w:p>
        </w:tc>
      </w:tr>
      <w:tr w:rsidR="00D43CB6" w:rsidRPr="007F1054" w14:paraId="2E28E8AA" w14:textId="77777777" w:rsidTr="002E563C"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162A95D6" w14:textId="01CA2FBB" w:rsidR="00D43CB6" w:rsidRPr="007F1054" w:rsidRDefault="00D43CB6" w:rsidP="001E23B7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  <w:t>Média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7AC30144" w14:textId="5F90532B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b/>
                <w:noProof/>
                <w:sz w:val="20"/>
                <w:szCs w:val="20"/>
                <w:lang w:val="pt-BR"/>
              </w:rPr>
              <w:t>5.268,30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26147555" w14:textId="326581B2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b/>
                <w:noProof/>
                <w:sz w:val="20"/>
                <w:szCs w:val="20"/>
                <w:lang w:val="pt-BR"/>
              </w:rPr>
              <w:t>1.836,72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79E5F972" w14:textId="694A3717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b/>
                <w:noProof/>
                <w:sz w:val="20"/>
                <w:szCs w:val="20"/>
                <w:lang w:val="pt-BR"/>
              </w:rPr>
              <w:t>1.417,54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069F73C4" w14:textId="5B786BB4" w:rsidR="00D43CB6" w:rsidRPr="007F1054" w:rsidRDefault="00D43CB6" w:rsidP="002E563C">
            <w:pPr>
              <w:pStyle w:val="LO-normal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eastAsia="Arial" w:hAnsi="Arial" w:cs="Arial"/>
                <w:b/>
                <w:noProof/>
                <w:sz w:val="20"/>
                <w:szCs w:val="20"/>
                <w:lang w:val="pt-BR"/>
              </w:rPr>
              <w:t>419,18</w:t>
            </w:r>
          </w:p>
        </w:tc>
      </w:tr>
      <w:tr w:rsidR="00D43CB6" w:rsidRPr="007F1054" w14:paraId="49961955" w14:textId="77777777" w:rsidTr="002E563C"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7272A004" w14:textId="4495DC38" w:rsidR="00D43CB6" w:rsidRPr="007F1054" w:rsidRDefault="00D43CB6" w:rsidP="001E23B7">
            <w:pPr>
              <w:pStyle w:val="LO-normal"/>
              <w:jc w:val="center"/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</w:pPr>
            <w:r w:rsidRPr="007F1054">
              <w:rPr>
                <w:rFonts w:ascii="Arial" w:hAnsi="Arial"/>
                <w:bCs/>
                <w:noProof/>
                <w:color w:val="000000"/>
                <w:sz w:val="20"/>
                <w:szCs w:val="20"/>
                <w:u w:color="000000"/>
                <w:lang w:val="pt-BR"/>
              </w:rPr>
              <w:t>CV%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3271A6A0" w14:textId="7BEFEAC3" w:rsidR="00D43CB6" w:rsidRPr="007F1054" w:rsidRDefault="00D43CB6" w:rsidP="002E563C">
            <w:pPr>
              <w:widowControl w:val="0"/>
              <w:ind w:left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1054">
              <w:rPr>
                <w:rFonts w:ascii="Arial" w:eastAsia="Arial" w:hAnsi="Arial" w:cs="Arial"/>
                <w:sz w:val="20"/>
                <w:szCs w:val="20"/>
              </w:rPr>
              <w:t>21,47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4D1214A0" w14:textId="7227CCFD" w:rsidR="00D43CB6" w:rsidRPr="007F1054" w:rsidRDefault="00D43CB6" w:rsidP="002E563C">
            <w:pPr>
              <w:widowControl w:val="0"/>
              <w:ind w:left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1054">
              <w:rPr>
                <w:rFonts w:ascii="Arial" w:eastAsia="Arial" w:hAnsi="Arial" w:cs="Arial"/>
                <w:sz w:val="20"/>
                <w:szCs w:val="20"/>
              </w:rPr>
              <w:t>20,96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49AE296C" w14:textId="2A3CA7DF" w:rsidR="00D43CB6" w:rsidRPr="007F1054" w:rsidRDefault="00D43CB6" w:rsidP="002E563C">
            <w:pPr>
              <w:widowControl w:val="0"/>
              <w:ind w:left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1054">
              <w:rPr>
                <w:rFonts w:ascii="Arial" w:eastAsia="Arial" w:hAnsi="Arial" w:cs="Arial"/>
                <w:sz w:val="20"/>
                <w:szCs w:val="20"/>
              </w:rPr>
              <w:t>20,82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3977F245" w14:textId="51097058" w:rsidR="00D43CB6" w:rsidRPr="007F1054" w:rsidRDefault="00D43CB6" w:rsidP="002E563C">
            <w:pPr>
              <w:widowControl w:val="0"/>
              <w:ind w:left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1054">
              <w:rPr>
                <w:rFonts w:ascii="Arial" w:eastAsia="Arial" w:hAnsi="Arial" w:cs="Arial"/>
                <w:sz w:val="20"/>
                <w:szCs w:val="20"/>
              </w:rPr>
              <w:t>40,7</w:t>
            </w:r>
          </w:p>
        </w:tc>
      </w:tr>
    </w:tbl>
    <w:p w14:paraId="6423A9A6" w14:textId="7581511C" w:rsidR="002E563C" w:rsidRPr="007F1054" w:rsidRDefault="002E563C" w:rsidP="002E563C">
      <w:pPr>
        <w:pStyle w:val="LO-normal"/>
        <w:ind w:left="20"/>
        <w:jc w:val="both"/>
        <w:rPr>
          <w:rFonts w:ascii="Arial" w:eastAsia="Arial" w:hAnsi="Arial" w:cs="Arial"/>
          <w:noProof/>
          <w:color w:val="000000"/>
          <w:sz w:val="20"/>
          <w:szCs w:val="20"/>
          <w:u w:color="000000"/>
          <w:lang w:val="pt-BR"/>
        </w:rPr>
      </w:pPr>
      <w:r w:rsidRPr="007F1054">
        <w:rPr>
          <w:rFonts w:ascii="Arial" w:hAnsi="Arial" w:cs="Arial"/>
          <w:noProof/>
          <w:sz w:val="20"/>
          <w:szCs w:val="20"/>
          <w:lang w:val="pt-BR"/>
        </w:rPr>
        <w:t>T1): testemunha, sem nenhuma aplicação; T2): aplicar 50 Kg de N/ha</w:t>
      </w:r>
      <w:r w:rsidRPr="007F1054">
        <w:rPr>
          <w:rFonts w:ascii="Arial" w:hAnsi="Arial" w:cs="Arial"/>
          <w:noProof/>
          <w:sz w:val="20"/>
          <w:szCs w:val="20"/>
          <w:vertAlign w:val="superscript"/>
          <w:lang w:val="pt-BR"/>
        </w:rPr>
        <w:t>-1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 xml:space="preserve"> no perfilhamento e 50 Kg de N/ha</w:t>
      </w:r>
      <w:r w:rsidRPr="007F1054">
        <w:rPr>
          <w:rFonts w:ascii="Arial" w:hAnsi="Arial" w:cs="Arial"/>
          <w:noProof/>
          <w:sz w:val="20"/>
          <w:szCs w:val="20"/>
          <w:vertAlign w:val="superscript"/>
          <w:lang w:val="pt-BR"/>
        </w:rPr>
        <w:t>-1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 xml:space="preserve"> após o primeiro corte; T3): T2 + LA VITHA 3,0 L</w:t>
      </w:r>
      <w:r w:rsidR="00A02788">
        <w:rPr>
          <w:rFonts w:ascii="Arial" w:hAnsi="Arial" w:cs="Arial"/>
          <w:noProof/>
          <w:sz w:val="20"/>
          <w:szCs w:val="20"/>
          <w:lang w:val="pt-BR"/>
        </w:rPr>
        <w:t>.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>ha</w:t>
      </w:r>
      <w:r w:rsidRPr="007F1054">
        <w:rPr>
          <w:rFonts w:ascii="Arial" w:hAnsi="Arial" w:cs="Arial"/>
          <w:noProof/>
          <w:sz w:val="20"/>
          <w:szCs w:val="20"/>
          <w:vertAlign w:val="superscript"/>
          <w:lang w:val="pt-BR"/>
        </w:rPr>
        <w:t>-1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 xml:space="preserve"> + KADMAN 3,0 L</w:t>
      </w:r>
      <w:r w:rsidR="00A02788">
        <w:rPr>
          <w:rFonts w:ascii="Arial" w:hAnsi="Arial" w:cs="Arial"/>
          <w:noProof/>
          <w:sz w:val="20"/>
          <w:szCs w:val="20"/>
          <w:lang w:val="pt-BR"/>
        </w:rPr>
        <w:t>.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>ha</w:t>
      </w:r>
      <w:r w:rsidRPr="007F1054">
        <w:rPr>
          <w:rFonts w:ascii="Arial" w:hAnsi="Arial" w:cs="Arial"/>
          <w:noProof/>
          <w:sz w:val="20"/>
          <w:szCs w:val="20"/>
          <w:vertAlign w:val="superscript"/>
          <w:lang w:val="pt-BR"/>
        </w:rPr>
        <w:t>-1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 xml:space="preserve"> em duas aplicações; T4): LA VITHA 3,0 L</w:t>
      </w:r>
      <w:r w:rsidR="00A02788">
        <w:rPr>
          <w:rFonts w:ascii="Arial" w:hAnsi="Arial" w:cs="Arial"/>
          <w:noProof/>
          <w:sz w:val="20"/>
          <w:szCs w:val="20"/>
          <w:lang w:val="pt-BR"/>
        </w:rPr>
        <w:t>.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>ha</w:t>
      </w:r>
      <w:r w:rsidRPr="007F1054">
        <w:rPr>
          <w:rFonts w:ascii="Arial" w:hAnsi="Arial" w:cs="Arial"/>
          <w:noProof/>
          <w:sz w:val="20"/>
          <w:szCs w:val="20"/>
          <w:vertAlign w:val="superscript"/>
          <w:lang w:val="pt-BR"/>
        </w:rPr>
        <w:t>-1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 xml:space="preserve"> + KADMAN 3,0 L</w:t>
      </w:r>
      <w:r w:rsidR="00A02788">
        <w:rPr>
          <w:rFonts w:ascii="Arial" w:hAnsi="Arial" w:cs="Arial"/>
          <w:noProof/>
          <w:sz w:val="20"/>
          <w:szCs w:val="20"/>
          <w:lang w:val="pt-BR"/>
        </w:rPr>
        <w:t>.h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>a</w:t>
      </w:r>
      <w:r w:rsidRPr="007F1054">
        <w:rPr>
          <w:rFonts w:ascii="Arial" w:hAnsi="Arial" w:cs="Arial"/>
          <w:noProof/>
          <w:sz w:val="20"/>
          <w:szCs w:val="20"/>
          <w:vertAlign w:val="superscript"/>
          <w:lang w:val="pt-BR"/>
        </w:rPr>
        <w:t>-1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 xml:space="preserve"> + 50 Kg de N/ha</w:t>
      </w:r>
      <w:r w:rsidRPr="007F1054">
        <w:rPr>
          <w:rFonts w:ascii="Arial" w:hAnsi="Arial" w:cs="Arial"/>
          <w:noProof/>
          <w:sz w:val="20"/>
          <w:szCs w:val="20"/>
          <w:vertAlign w:val="superscript"/>
          <w:lang w:val="pt-BR"/>
        </w:rPr>
        <w:t>-1</w:t>
      </w:r>
      <w:r w:rsidRPr="007F1054">
        <w:rPr>
          <w:rFonts w:ascii="Arial" w:hAnsi="Arial" w:cs="Arial"/>
          <w:noProof/>
          <w:sz w:val="20"/>
          <w:szCs w:val="20"/>
          <w:lang w:val="pt-BR"/>
        </w:rPr>
        <w:t xml:space="preserve"> em uma aplicação (60 DAE). CV%: Coeficiente de variação.</w:t>
      </w:r>
      <w:r w:rsidR="001E23B7">
        <w:rPr>
          <w:rFonts w:ascii="Arial" w:hAnsi="Arial" w:cs="Arial"/>
          <w:noProof/>
          <w:sz w:val="20"/>
          <w:szCs w:val="20"/>
          <w:lang w:val="pt-BR"/>
        </w:rPr>
        <w:t xml:space="preserve"> T</w:t>
      </w:r>
      <w:r w:rsidR="001E23B7" w:rsidRPr="007F1054">
        <w:rPr>
          <w:rFonts w:ascii="Arial" w:eastAsia="Arial" w:hAnsi="Arial" w:cs="Arial"/>
          <w:noProof/>
          <w:sz w:val="22"/>
          <w:szCs w:val="22"/>
          <w:lang w:val="pt-BR"/>
        </w:rPr>
        <w:t xml:space="preserve">este </w:t>
      </w:r>
      <w:r w:rsidR="001E23B7">
        <w:rPr>
          <w:rFonts w:ascii="Arial" w:eastAsia="Arial" w:hAnsi="Arial" w:cs="Arial"/>
          <w:noProof/>
          <w:sz w:val="22"/>
          <w:szCs w:val="22"/>
          <w:lang w:val="pt-BR"/>
        </w:rPr>
        <w:t xml:space="preserve">de </w:t>
      </w:r>
      <w:r w:rsidR="001E23B7" w:rsidRPr="007F1054">
        <w:rPr>
          <w:rFonts w:ascii="Arial" w:eastAsia="Arial" w:hAnsi="Arial" w:cs="Arial"/>
          <w:noProof/>
          <w:sz w:val="22"/>
          <w:szCs w:val="22"/>
          <w:lang w:val="pt-BR"/>
        </w:rPr>
        <w:t>Scott-Knott com significância de 5%</w:t>
      </w:r>
      <w:r w:rsidR="001E23B7">
        <w:rPr>
          <w:rFonts w:ascii="Arial" w:eastAsia="Arial" w:hAnsi="Arial" w:cs="Arial"/>
          <w:noProof/>
          <w:sz w:val="22"/>
          <w:szCs w:val="22"/>
          <w:lang w:val="pt-BR"/>
        </w:rPr>
        <w:t>.</w:t>
      </w:r>
    </w:p>
    <w:p w14:paraId="167BDA7E" w14:textId="77777777" w:rsidR="00D43CB6" w:rsidRPr="007F1054" w:rsidRDefault="00D43CB6" w:rsidP="00D43CB6">
      <w:pPr>
        <w:pStyle w:val="LO-normal"/>
        <w:jc w:val="both"/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</w:pPr>
    </w:p>
    <w:p w14:paraId="203448F5" w14:textId="29ACA896" w:rsidR="007067B6" w:rsidRPr="007F1054" w:rsidRDefault="00D43CB6" w:rsidP="007F1054">
      <w:pPr>
        <w:pStyle w:val="LO-normal"/>
        <w:ind w:firstLine="20"/>
        <w:jc w:val="both"/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</w:pP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Os resultados não foram diferentes estatisticamente, provavelmente houve efeito da palhada do milho que havia em grande quantidade na área</w:t>
      </w:r>
      <w:r w:rsidR="001E23B7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, podendo ter limitado a eficiência do uso dos produtos testados. Silva</w:t>
      </w: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et al., (</w:t>
      </w:r>
      <w:r w:rsid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20</w:t>
      </w:r>
      <w:r w:rsidR="001E23B7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20</w:t>
      </w: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) relatou que a adubação pode ser fator limitante para os benefícios da utilização desses compostos. </w:t>
      </w:r>
      <w:r w:rsidR="000922F8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Assim, d</w:t>
      </w:r>
      <w:r w:rsidR="001F56BE" w:rsidRPr="007F1054"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  <w:t xml:space="preserve">eve-se </w:t>
      </w:r>
      <w:r w:rsidRPr="007F1054"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  <w:t>ressaltar</w:t>
      </w:r>
      <w:r w:rsidR="001F56BE" w:rsidRPr="007F1054"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  <w:t xml:space="preserve"> que para obter resultados significativos, o manejo das culturas deve ocorrer adequadamente, para que possa otimizar o potencial pr</w:t>
      </w:r>
      <w:r w:rsidR="001E23B7"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  <w:t xml:space="preserve">odutivo da planta forrageira. </w:t>
      </w:r>
      <w:r w:rsidR="000922F8" w:rsidRPr="007F1054"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  <w:t>Recomenda-se mais avaliações com diferentes doses tantos dos ácidos húmicos</w:t>
      </w:r>
      <w:r w:rsidR="001E23B7">
        <w:rPr>
          <w:rFonts w:ascii="Arial" w:eastAsia="Arial" w:hAnsi="Arial" w:cs="Arial"/>
          <w:noProof/>
          <w:color w:val="000000"/>
          <w:sz w:val="22"/>
          <w:szCs w:val="22"/>
          <w:u w:color="000000"/>
          <w:lang w:val="pt-BR"/>
        </w:rPr>
        <w:t xml:space="preserve"> e fúvicos quanto do nitrogênio e também em diferentes restos culturais.</w:t>
      </w:r>
    </w:p>
    <w:p w14:paraId="067C0AA4" w14:textId="77777777" w:rsidR="00D43CB6" w:rsidRPr="007F1054" w:rsidRDefault="00D43CB6" w:rsidP="00D43CB6">
      <w:pPr>
        <w:pStyle w:val="LO-normal"/>
        <w:jc w:val="both"/>
        <w:rPr>
          <w:rFonts w:ascii="Arial" w:eastAsia="Arial" w:hAnsi="Arial" w:cs="Arial"/>
          <w:noProof/>
          <w:color w:val="000000"/>
          <w:sz w:val="20"/>
          <w:szCs w:val="20"/>
          <w:u w:color="000000"/>
          <w:lang w:val="pt-BR"/>
        </w:rPr>
      </w:pPr>
    </w:p>
    <w:p w14:paraId="17945F6E" w14:textId="2BBA4FDB" w:rsidR="003077DC" w:rsidRPr="007F1054" w:rsidRDefault="003077DC" w:rsidP="003077DC">
      <w:pPr>
        <w:pStyle w:val="LO-normal"/>
        <w:jc w:val="both"/>
        <w:rPr>
          <w:rFonts w:ascii="Arial" w:eastAsia="Arial" w:hAnsi="Arial" w:cs="Arial"/>
          <w:b/>
          <w:bCs/>
          <w:noProof/>
          <w:color w:val="000000"/>
          <w:sz w:val="22"/>
          <w:szCs w:val="22"/>
          <w:u w:color="000000"/>
          <w:lang w:val="pt-BR"/>
        </w:rPr>
      </w:pPr>
      <w:r w:rsidRPr="007F1054">
        <w:rPr>
          <w:rFonts w:ascii="Arial" w:hAnsi="Arial"/>
          <w:b/>
          <w:bCs/>
          <w:noProof/>
          <w:color w:val="000000"/>
          <w:sz w:val="22"/>
          <w:szCs w:val="22"/>
          <w:u w:color="000000"/>
          <w:lang w:val="pt-BR"/>
        </w:rPr>
        <w:lastRenderedPageBreak/>
        <w:t>Conclusão</w:t>
      </w: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: </w:t>
      </w:r>
      <w:r w:rsidR="001E23B7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o uso dos ácidos húmicos e fúvicos associados a adubação nitrogenada</w:t>
      </w:r>
      <w:r w:rsidR="00D43CB6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nos pastos de aveia preta</w:t>
      </w:r>
      <w:r w:rsidR="000922F8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sob a palhada do milho</w:t>
      </w:r>
      <w:r w:rsidR="00D43CB6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não foram estatisticamente diferentes</w:t>
      </w:r>
      <w:r w:rsidR="000922F8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.</w:t>
      </w:r>
    </w:p>
    <w:p w14:paraId="321DB343" w14:textId="77777777" w:rsidR="003077DC" w:rsidRPr="007F1054" w:rsidRDefault="003077DC" w:rsidP="003077DC">
      <w:pPr>
        <w:pStyle w:val="LO-normal"/>
        <w:jc w:val="both"/>
        <w:rPr>
          <w:rFonts w:ascii="Arial" w:eastAsia="Arial" w:hAnsi="Arial" w:cs="Arial"/>
          <w:b/>
          <w:bCs/>
          <w:noProof/>
          <w:color w:val="000000"/>
          <w:sz w:val="22"/>
          <w:szCs w:val="22"/>
          <w:u w:color="000000"/>
          <w:lang w:val="pt-BR"/>
        </w:rPr>
      </w:pPr>
    </w:p>
    <w:p w14:paraId="3872E2F0" w14:textId="3EE4C1DD" w:rsidR="003077DC" w:rsidRPr="007F1054" w:rsidRDefault="003077DC" w:rsidP="003077DC">
      <w:pPr>
        <w:pStyle w:val="LO-normal"/>
        <w:jc w:val="both"/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</w:pPr>
      <w:r w:rsidRPr="007F1054">
        <w:rPr>
          <w:rFonts w:ascii="Arial" w:hAnsi="Arial"/>
          <w:b/>
          <w:bCs/>
          <w:noProof/>
          <w:color w:val="000000"/>
          <w:sz w:val="22"/>
          <w:szCs w:val="22"/>
          <w:u w:color="000000"/>
          <w:lang w:val="pt-BR"/>
        </w:rPr>
        <w:t xml:space="preserve">Agradecimento: </w:t>
      </w: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Á Life Agro </w:t>
      </w:r>
      <w:r w:rsidR="00D43CB6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e ao GEFSC, grupo de estudos em forragicultura da</w:t>
      </w: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Universidade Federal de Santa Catarina</w:t>
      </w:r>
      <w:r w:rsidR="00D43CB6"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>.</w:t>
      </w:r>
      <w:r w:rsidRPr="007F1054"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  <w:t xml:space="preserve"> </w:t>
      </w:r>
    </w:p>
    <w:p w14:paraId="4C2F4444" w14:textId="77777777" w:rsidR="00621B93" w:rsidRPr="007F1054" w:rsidRDefault="00621B93" w:rsidP="003077DC">
      <w:pPr>
        <w:pStyle w:val="LO-normal"/>
        <w:jc w:val="both"/>
        <w:rPr>
          <w:rFonts w:ascii="Arial" w:hAnsi="Arial"/>
          <w:noProof/>
          <w:color w:val="000000"/>
          <w:sz w:val="22"/>
          <w:szCs w:val="22"/>
          <w:u w:color="000000"/>
          <w:lang w:val="pt-BR"/>
        </w:rPr>
      </w:pPr>
    </w:p>
    <w:p w14:paraId="508B5518" w14:textId="65783F28" w:rsidR="00621B93" w:rsidRPr="007F1054" w:rsidRDefault="00621B93" w:rsidP="00600E55">
      <w:pPr>
        <w:rPr>
          <w:rFonts w:ascii="Arial" w:eastAsia="Arial" w:hAnsi="Arial" w:cs="Arial"/>
          <w:b/>
          <w:color w:val="000000"/>
          <w:sz w:val="22"/>
          <w:szCs w:val="22"/>
        </w:rPr>
      </w:pPr>
      <w:r w:rsidRPr="007F1054">
        <w:rPr>
          <w:rFonts w:ascii="Arial" w:eastAsia="Arial" w:hAnsi="Arial" w:cs="Arial"/>
          <w:b/>
          <w:color w:val="000000"/>
          <w:sz w:val="22"/>
          <w:szCs w:val="22"/>
        </w:rPr>
        <w:t>SISGEN, COMITÊ DE ÉTICA, PLATAFORMA BRASIL:</w:t>
      </w:r>
    </w:p>
    <w:p w14:paraId="2A78E39C" w14:textId="77777777" w:rsidR="003077DC" w:rsidRPr="007F1054" w:rsidRDefault="003077DC" w:rsidP="003077DC">
      <w:pPr>
        <w:pStyle w:val="LO-normal"/>
        <w:jc w:val="both"/>
        <w:rPr>
          <w:rFonts w:ascii="Arial" w:eastAsia="Arial" w:hAnsi="Arial" w:cs="Arial"/>
          <w:b/>
          <w:bCs/>
          <w:noProof/>
          <w:color w:val="000000"/>
          <w:sz w:val="22"/>
          <w:szCs w:val="22"/>
          <w:u w:color="000000"/>
          <w:lang w:val="pt-BR"/>
        </w:rPr>
      </w:pPr>
    </w:p>
    <w:p w14:paraId="5204BC74" w14:textId="3AEF439C" w:rsidR="003077DC" w:rsidRDefault="003077DC" w:rsidP="00612E0A">
      <w:pPr>
        <w:rPr>
          <w:rFonts w:ascii="Arial" w:hAnsi="Arial"/>
          <w:b/>
          <w:bCs/>
          <w:color w:val="000000"/>
          <w:sz w:val="22"/>
          <w:szCs w:val="22"/>
          <w:u w:color="000000"/>
        </w:rPr>
      </w:pPr>
      <w:r w:rsidRPr="007F1054">
        <w:rPr>
          <w:rFonts w:ascii="Arial" w:hAnsi="Arial"/>
          <w:b/>
          <w:bCs/>
          <w:color w:val="000000"/>
          <w:sz w:val="22"/>
          <w:szCs w:val="22"/>
          <w:u w:color="000000"/>
        </w:rPr>
        <w:t>Referências:</w:t>
      </w:r>
    </w:p>
    <w:p w14:paraId="337176E9" w14:textId="77777777" w:rsidR="007F1054" w:rsidRPr="007F1054" w:rsidRDefault="007F1054" w:rsidP="00612E0A">
      <w:pPr>
        <w:rPr>
          <w:rFonts w:ascii="Arial" w:hAnsi="Arial"/>
          <w:b/>
          <w:bCs/>
          <w:color w:val="000000"/>
          <w:sz w:val="22"/>
          <w:szCs w:val="22"/>
          <w:u w:color="000000"/>
        </w:rPr>
      </w:pPr>
    </w:p>
    <w:p w14:paraId="3BFF2561" w14:textId="5CB85BFE" w:rsidR="00612E0A" w:rsidRPr="007F1054" w:rsidRDefault="007F1054" w:rsidP="007F1054">
      <w:pPr>
        <w:jc w:val="both"/>
        <w:rPr>
          <w:rFonts w:ascii="Arial" w:eastAsia="Arial" w:hAnsi="Arial" w:cs="Arial"/>
          <w:noProof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ASSMANN, T. S.; SOARES, A. B. Migrando da adubação de culturas para a adubação de sistemas por meio da Integração Lavoura Pecuária. 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Informativo integrar</w:t>
      </w:r>
      <w:r>
        <w:rPr>
          <w:rFonts w:ascii="Arial" w:hAnsi="Arial" w:cs="Arial"/>
          <w:sz w:val="22"/>
          <w:szCs w:val="22"/>
          <w:shd w:val="clear" w:color="auto" w:fill="FFFFFF"/>
        </w:rPr>
        <w:t>, 2016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416F8721" w14:textId="77777777" w:rsidR="007F1054" w:rsidRPr="007F1054" w:rsidRDefault="007F1054" w:rsidP="00612E0A">
      <w:pPr>
        <w:rPr>
          <w:rFonts w:ascii="Arial" w:hAnsi="Arial"/>
          <w:b/>
          <w:bCs/>
          <w:color w:val="000000"/>
          <w:sz w:val="22"/>
          <w:szCs w:val="22"/>
          <w:u w:color="000000"/>
        </w:rPr>
      </w:pPr>
    </w:p>
    <w:p w14:paraId="1036A540" w14:textId="0590DCB8" w:rsidR="00540A35" w:rsidRPr="007F1054" w:rsidRDefault="00C7435C" w:rsidP="007F1054">
      <w:pPr>
        <w:pStyle w:val="LO-normal"/>
        <w:ind w:right="284"/>
        <w:rPr>
          <w:rFonts w:ascii="Arial" w:hAnsi="Arial" w:cs="Arial"/>
          <w:noProof/>
          <w:sz w:val="22"/>
          <w:szCs w:val="22"/>
          <w:lang w:val="pt-BR"/>
        </w:rPr>
      </w:pP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SANTOS, M.G.P.; CLAUDINO, T.M.; PIZANI, G.A.; FIGUEIRA, M.D.; CONTIN, R.F. </w:t>
      </w:r>
      <w:r w:rsidR="009E38F0" w:rsidRPr="007F1054">
        <w:rPr>
          <w:rFonts w:ascii="Arial" w:hAnsi="Arial" w:cs="Arial"/>
          <w:bCs/>
          <w:noProof/>
          <w:sz w:val="22"/>
          <w:szCs w:val="22"/>
          <w:lang w:val="pt-BR"/>
        </w:rPr>
        <w:t>Influência da aplicação de ácido húmico nas características químicas do solo cultivado com pastagem</w:t>
      </w:r>
      <w:r w:rsidR="007F1054">
        <w:rPr>
          <w:rFonts w:ascii="Arial" w:hAnsi="Arial" w:cs="Arial"/>
          <w:bCs/>
          <w:noProof/>
          <w:sz w:val="22"/>
          <w:szCs w:val="22"/>
          <w:lang w:val="pt-BR"/>
        </w:rPr>
        <w:t>, 2019.</w:t>
      </w:r>
      <w:r w:rsidR="009E38F0" w:rsidRPr="007F1054">
        <w:rPr>
          <w:rFonts w:ascii="Arial" w:hAnsi="Arial" w:cs="Arial"/>
          <w:bCs/>
          <w:noProof/>
          <w:sz w:val="22"/>
          <w:szCs w:val="22"/>
          <w:lang w:val="pt-BR"/>
        </w:rPr>
        <w:t xml:space="preserve"> </w:t>
      </w:r>
      <w:r w:rsidR="009E38F0" w:rsidRPr="007F1054">
        <w:rPr>
          <w:rFonts w:ascii="Arial" w:hAnsi="Arial" w:cs="Arial"/>
          <w:noProof/>
          <w:sz w:val="22"/>
          <w:szCs w:val="22"/>
          <w:lang w:val="pt-BR"/>
        </w:rPr>
        <w:t xml:space="preserve">Disponível em: </w:t>
      </w:r>
      <w:hyperlink r:id="rId8" w:history="1">
        <w:r w:rsidR="009E38F0" w:rsidRPr="007F1054">
          <w:rPr>
            <w:rStyle w:val="Hyperlink"/>
            <w:rFonts w:ascii="Arial" w:hAnsi="Arial" w:cs="Arial"/>
            <w:noProof/>
            <w:sz w:val="22"/>
            <w:szCs w:val="22"/>
            <w:u w:val="none"/>
            <w:lang w:val="pt-BR"/>
          </w:rPr>
          <w:t>https://cic.unifio.edu.br/anaisCIC/anais2019/pdf/02.03.pdf</w:t>
        </w:r>
      </w:hyperlink>
      <w:r w:rsidR="009E38F0" w:rsidRPr="007F1054">
        <w:rPr>
          <w:rFonts w:ascii="Arial" w:hAnsi="Arial" w:cs="Arial"/>
          <w:noProof/>
          <w:sz w:val="22"/>
          <w:szCs w:val="22"/>
          <w:lang w:val="pt-BR"/>
        </w:rPr>
        <w:t xml:space="preserve">. Acesso em 21 set 2023. </w:t>
      </w:r>
      <w:bookmarkEnd w:id="0"/>
    </w:p>
    <w:p w14:paraId="36F06319" w14:textId="77777777" w:rsidR="00AF40DE" w:rsidRPr="007F1054" w:rsidRDefault="00AF40DE" w:rsidP="00EE433B">
      <w:pPr>
        <w:pStyle w:val="LO-normal"/>
        <w:ind w:right="284"/>
        <w:jc w:val="both"/>
        <w:rPr>
          <w:rFonts w:ascii="Arial" w:hAnsi="Arial" w:cs="Arial"/>
          <w:noProof/>
          <w:sz w:val="22"/>
          <w:szCs w:val="22"/>
          <w:lang w:val="pt-BR"/>
        </w:rPr>
      </w:pPr>
    </w:p>
    <w:p w14:paraId="410EB2CF" w14:textId="16782C98" w:rsidR="00AF40DE" w:rsidRPr="007A5689" w:rsidRDefault="00AF40DE" w:rsidP="00A9469D">
      <w:pPr>
        <w:pStyle w:val="LO-normal"/>
        <w:ind w:right="284"/>
      </w:pPr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SILVA, F.C.C. da.; ALVARENGA, C.A.F.; BARCELOS, G.F.; SOARES, D.L. Implicação de ácido húmico e fúlvico na produtividade de forragem: XLIX Congresso Brasileiro de Engenharia Agrícola – CONBEA 2020. Disponível em: </w:t>
      </w:r>
      <w:hyperlink r:id="rId9" w:history="1">
        <w:r w:rsidRPr="007F1054">
          <w:rPr>
            <w:rStyle w:val="Hyperlink"/>
            <w:rFonts w:ascii="Arial" w:hAnsi="Arial" w:cs="Arial"/>
            <w:noProof/>
            <w:sz w:val="22"/>
            <w:szCs w:val="22"/>
            <w:u w:val="none"/>
            <w:lang w:val="pt-BR"/>
          </w:rPr>
          <w:t>https://www.conbea.org.br/anais/publicacoes/conbea-2020/anais-2020/engenharia-de-agua-e-solo-eas/3041-implicacao-de-acido-humico-e-fulvico-na-produtividade-de-forragem/file</w:t>
        </w:r>
      </w:hyperlink>
      <w:r w:rsidRPr="007F1054">
        <w:rPr>
          <w:rFonts w:ascii="Arial" w:hAnsi="Arial" w:cs="Arial"/>
          <w:noProof/>
          <w:sz w:val="22"/>
          <w:szCs w:val="22"/>
          <w:lang w:val="pt-BR"/>
        </w:rPr>
        <w:t xml:space="preserve">. Acesso em 28 set 2023. </w:t>
      </w:r>
    </w:p>
    <w:sectPr w:rsidR="00AF40DE" w:rsidRPr="007A5689" w:rsidSect="00DF0151">
      <w:headerReference w:type="default" r:id="rId10"/>
      <w:pgSz w:w="11900" w:h="16840"/>
      <w:pgMar w:top="1418" w:right="1418" w:bottom="1418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3F08" w14:textId="77777777" w:rsidR="00463E63" w:rsidRPr="007F1054" w:rsidRDefault="00463E63">
      <w:r w:rsidRPr="007F1054">
        <w:separator/>
      </w:r>
    </w:p>
  </w:endnote>
  <w:endnote w:type="continuationSeparator" w:id="0">
    <w:p w14:paraId="0DDF8742" w14:textId="77777777" w:rsidR="00463E63" w:rsidRPr="007F1054" w:rsidRDefault="00463E63">
      <w:r w:rsidRPr="007F10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1FFB" w14:textId="77777777" w:rsidR="00463E63" w:rsidRPr="007F1054" w:rsidRDefault="00463E63">
      <w:r w:rsidRPr="007F1054">
        <w:separator/>
      </w:r>
    </w:p>
  </w:footnote>
  <w:footnote w:type="continuationSeparator" w:id="0">
    <w:p w14:paraId="49F1E63F" w14:textId="77777777" w:rsidR="00463E63" w:rsidRPr="007F1054" w:rsidRDefault="00463E63">
      <w:r w:rsidRPr="007F10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BA1D" w14:textId="7B89C2E8" w:rsidR="00540A35" w:rsidRPr="007F1054" w:rsidRDefault="00DF0151">
    <w:pPr>
      <w:pStyle w:val="LO-normal"/>
      <w:rPr>
        <w:noProof/>
        <w:lang w:val="pt-BR"/>
      </w:rPr>
    </w:pPr>
    <w:r w:rsidRPr="007F1054">
      <w:rPr>
        <w:noProof/>
        <w:lang w:val="pt-BR"/>
      </w:rPr>
      <w:drawing>
        <wp:anchor distT="152400" distB="152400" distL="152400" distR="152400" simplePos="0" relativeHeight="251659264" behindDoc="0" locked="0" layoutInCell="1" allowOverlap="1" wp14:anchorId="6F073AA9" wp14:editId="332BDFC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115194"/>
          <wp:effectExtent l="0" t="0" r="6350" b="8890"/>
          <wp:wrapTopAndBottom distT="152400" distB="152400"/>
          <wp:docPr id="1073741828" name="officeArt object" descr="Cabeçalho SBSS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abeçalho SBSS-02.jpg" descr="Cabeçalho SBSS-0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1151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9409A"/>
    <w:multiLevelType w:val="hybridMultilevel"/>
    <w:tmpl w:val="6F00C376"/>
    <w:lvl w:ilvl="0" w:tplc="A69AE1A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93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35"/>
    <w:rsid w:val="00002188"/>
    <w:rsid w:val="000248AF"/>
    <w:rsid w:val="00060201"/>
    <w:rsid w:val="000840BF"/>
    <w:rsid w:val="000922F8"/>
    <w:rsid w:val="000C3C66"/>
    <w:rsid w:val="000C7D72"/>
    <w:rsid w:val="000D167F"/>
    <w:rsid w:val="000D51C0"/>
    <w:rsid w:val="000D52E3"/>
    <w:rsid w:val="000F0043"/>
    <w:rsid w:val="00137542"/>
    <w:rsid w:val="00161346"/>
    <w:rsid w:val="00163A8C"/>
    <w:rsid w:val="0018585F"/>
    <w:rsid w:val="00193204"/>
    <w:rsid w:val="00196B47"/>
    <w:rsid w:val="001C1EBB"/>
    <w:rsid w:val="001C4F88"/>
    <w:rsid w:val="001D242B"/>
    <w:rsid w:val="001D59A2"/>
    <w:rsid w:val="001E23B7"/>
    <w:rsid w:val="001F56BE"/>
    <w:rsid w:val="001F56D9"/>
    <w:rsid w:val="00226999"/>
    <w:rsid w:val="00252B9B"/>
    <w:rsid w:val="002533D1"/>
    <w:rsid w:val="00255852"/>
    <w:rsid w:val="00260901"/>
    <w:rsid w:val="00281D97"/>
    <w:rsid w:val="002A3B79"/>
    <w:rsid w:val="002A47E1"/>
    <w:rsid w:val="002E563C"/>
    <w:rsid w:val="002F7A52"/>
    <w:rsid w:val="003077DC"/>
    <w:rsid w:val="003142E6"/>
    <w:rsid w:val="00332D35"/>
    <w:rsid w:val="00345ED4"/>
    <w:rsid w:val="00381150"/>
    <w:rsid w:val="003968B2"/>
    <w:rsid w:val="003A046D"/>
    <w:rsid w:val="003B6520"/>
    <w:rsid w:val="003B6FA9"/>
    <w:rsid w:val="003E4763"/>
    <w:rsid w:val="003F7A26"/>
    <w:rsid w:val="004013AA"/>
    <w:rsid w:val="00422CCC"/>
    <w:rsid w:val="00450A78"/>
    <w:rsid w:val="004610C5"/>
    <w:rsid w:val="00463E63"/>
    <w:rsid w:val="0047223C"/>
    <w:rsid w:val="00476396"/>
    <w:rsid w:val="00477320"/>
    <w:rsid w:val="004B4C62"/>
    <w:rsid w:val="004C5E1D"/>
    <w:rsid w:val="00516311"/>
    <w:rsid w:val="00537FA9"/>
    <w:rsid w:val="00540A35"/>
    <w:rsid w:val="00567665"/>
    <w:rsid w:val="00581150"/>
    <w:rsid w:val="0058660F"/>
    <w:rsid w:val="005E00F0"/>
    <w:rsid w:val="005E1CD0"/>
    <w:rsid w:val="00600E55"/>
    <w:rsid w:val="00612E0A"/>
    <w:rsid w:val="00621B93"/>
    <w:rsid w:val="00643F2E"/>
    <w:rsid w:val="006468DA"/>
    <w:rsid w:val="00661E5B"/>
    <w:rsid w:val="00680B8A"/>
    <w:rsid w:val="00681E11"/>
    <w:rsid w:val="00697B2C"/>
    <w:rsid w:val="006B64A9"/>
    <w:rsid w:val="006C51DA"/>
    <w:rsid w:val="006F30B5"/>
    <w:rsid w:val="007067B6"/>
    <w:rsid w:val="007078F9"/>
    <w:rsid w:val="00714226"/>
    <w:rsid w:val="00720686"/>
    <w:rsid w:val="007407D4"/>
    <w:rsid w:val="00755C6D"/>
    <w:rsid w:val="00761238"/>
    <w:rsid w:val="00763823"/>
    <w:rsid w:val="00780136"/>
    <w:rsid w:val="007A5689"/>
    <w:rsid w:val="007E732A"/>
    <w:rsid w:val="007F1054"/>
    <w:rsid w:val="00801795"/>
    <w:rsid w:val="00820B30"/>
    <w:rsid w:val="00821679"/>
    <w:rsid w:val="008650E2"/>
    <w:rsid w:val="00891946"/>
    <w:rsid w:val="008A39B4"/>
    <w:rsid w:val="008A60DB"/>
    <w:rsid w:val="008B6FEE"/>
    <w:rsid w:val="008C6A58"/>
    <w:rsid w:val="009219EE"/>
    <w:rsid w:val="00964EAD"/>
    <w:rsid w:val="009716D1"/>
    <w:rsid w:val="00987D05"/>
    <w:rsid w:val="009A4A53"/>
    <w:rsid w:val="009A5D63"/>
    <w:rsid w:val="009A6167"/>
    <w:rsid w:val="009E38F0"/>
    <w:rsid w:val="00A02788"/>
    <w:rsid w:val="00A31B67"/>
    <w:rsid w:val="00A42346"/>
    <w:rsid w:val="00A5491B"/>
    <w:rsid w:val="00A739BA"/>
    <w:rsid w:val="00A864C4"/>
    <w:rsid w:val="00A9469D"/>
    <w:rsid w:val="00AB6DC7"/>
    <w:rsid w:val="00AF40DE"/>
    <w:rsid w:val="00B07183"/>
    <w:rsid w:val="00B34398"/>
    <w:rsid w:val="00B60BDF"/>
    <w:rsid w:val="00B95F4E"/>
    <w:rsid w:val="00BA4A5D"/>
    <w:rsid w:val="00BA5513"/>
    <w:rsid w:val="00BC1768"/>
    <w:rsid w:val="00C01465"/>
    <w:rsid w:val="00C05F32"/>
    <w:rsid w:val="00C25EB6"/>
    <w:rsid w:val="00C3175A"/>
    <w:rsid w:val="00C41268"/>
    <w:rsid w:val="00C55CD1"/>
    <w:rsid w:val="00C655A5"/>
    <w:rsid w:val="00C73B4B"/>
    <w:rsid w:val="00C7435C"/>
    <w:rsid w:val="00C755BB"/>
    <w:rsid w:val="00C81240"/>
    <w:rsid w:val="00C83569"/>
    <w:rsid w:val="00C95D2B"/>
    <w:rsid w:val="00CB48DA"/>
    <w:rsid w:val="00CC47F7"/>
    <w:rsid w:val="00CD5113"/>
    <w:rsid w:val="00CE4FEA"/>
    <w:rsid w:val="00D214D7"/>
    <w:rsid w:val="00D43CB6"/>
    <w:rsid w:val="00D578FF"/>
    <w:rsid w:val="00D94D69"/>
    <w:rsid w:val="00DF0151"/>
    <w:rsid w:val="00E50186"/>
    <w:rsid w:val="00EA000A"/>
    <w:rsid w:val="00EC1D89"/>
    <w:rsid w:val="00EE433B"/>
    <w:rsid w:val="00EF152C"/>
    <w:rsid w:val="00F10E08"/>
    <w:rsid w:val="00F31223"/>
    <w:rsid w:val="00F72DF5"/>
    <w:rsid w:val="00F97724"/>
    <w:rsid w:val="00FB309E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DB8BD"/>
  <w15:docId w15:val="{DC51532F-2BD7-4220-881B-672E1D13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pPr>
      <w:suppressAutoHyphens/>
    </w:pPr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59"/>
    <w:rsid w:val="003811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0151"/>
  </w:style>
  <w:style w:type="paragraph" w:styleId="Cabealho">
    <w:name w:val="header"/>
    <w:basedOn w:val="Normal"/>
    <w:link w:val="CabealhoChar"/>
    <w:uiPriority w:val="99"/>
    <w:unhideWhenUsed/>
    <w:rsid w:val="00DF01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0151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DF0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0151"/>
    <w:rPr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DF0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 w:line="360" w:lineRule="auto"/>
      <w:jc w:val="both"/>
      <w:textAlignment w:val="baseline"/>
    </w:pPr>
    <w:rPr>
      <w:rFonts w:ascii="Arial" w:eastAsia="SimSun" w:hAnsi="Arial" w:cs="Arial"/>
      <w:kern w:val="3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9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9BA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739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739B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739BA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39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39BA"/>
    <w:rPr>
      <w:b/>
      <w:bCs/>
      <w:lang w:val="en-US" w:eastAsia="en-US"/>
    </w:rPr>
  </w:style>
  <w:style w:type="paragraph" w:styleId="Reviso">
    <w:name w:val="Revision"/>
    <w:hidden/>
    <w:uiPriority w:val="99"/>
    <w:semiHidden/>
    <w:rsid w:val="00661E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0043"/>
    <w:rPr>
      <w:color w:val="605E5C"/>
      <w:shd w:val="clear" w:color="auto" w:fill="E1DFDD"/>
    </w:rPr>
  </w:style>
  <w:style w:type="table" w:customStyle="1" w:styleId="TableNormal1">
    <w:name w:val="Table Normal1"/>
    <w:rsid w:val="00646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25EB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8585F"/>
    <w:rPr>
      <w:b/>
      <w:bCs/>
    </w:rPr>
  </w:style>
  <w:style w:type="paragraph" w:styleId="PargrafodaLista">
    <w:name w:val="List Paragraph"/>
    <w:basedOn w:val="Normal"/>
    <w:uiPriority w:val="34"/>
    <w:qFormat/>
    <w:rsid w:val="003077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E38F0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AF4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unifio.edu.br/anaisCIC/anais2019/pdf/02.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bea.org.br/anais/publicacoes/conbea-2020/anais-2020/engenharia-de-agua-e-solo-eas/3041-implicacao-de-acido-humico-e-fulvico-na-produtividade-de-forragem/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04E7-541B-47EC-80DA-92FB5957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1380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Kelen Cristina Basso</dc:creator>
  <cp:lastModifiedBy>Kettlein Pedroso</cp:lastModifiedBy>
  <cp:revision>2</cp:revision>
  <dcterms:created xsi:type="dcterms:W3CDTF">2023-10-11T19:20:00Z</dcterms:created>
  <dcterms:modified xsi:type="dcterms:W3CDTF">2023-10-11T19:20:00Z</dcterms:modified>
</cp:coreProperties>
</file>