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F773" w14:textId="1C60197A" w:rsidR="002D4599" w:rsidRDefault="008A14CA" w:rsidP="002D4599">
      <w:pPr>
        <w:spacing w:line="276" w:lineRule="auto"/>
        <w:ind w:right="2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  <w:lang w:val="pt-BR"/>
        </w:rPr>
        <w:drawing>
          <wp:anchor distT="152400" distB="152400" distL="152400" distR="152400" simplePos="0" relativeHeight="251659264" behindDoc="0" locked="0" layoutInCell="1" allowOverlap="1" wp14:anchorId="0E1881D0" wp14:editId="22D560C7">
            <wp:simplePos x="0" y="0"/>
            <wp:positionH relativeFrom="page">
              <wp:posOffset>14605</wp:posOffset>
            </wp:positionH>
            <wp:positionV relativeFrom="page">
              <wp:align>top</wp:align>
            </wp:positionV>
            <wp:extent cx="7556500" cy="1115194"/>
            <wp:effectExtent l="0" t="0" r="6350" b="8890"/>
            <wp:wrapTopAndBottom distT="152400" distB="152400"/>
            <wp:docPr id="680505591" name="Imagem 680505591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beçalho SBSS-02.jpg" descr="Cabeçalho SBSS-0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52400" distL="152400" distR="152400" simplePos="0" relativeHeight="4" behindDoc="0" locked="0" layoutInCell="0" allowOverlap="1" wp14:anchorId="7FE85B7A" wp14:editId="100A658A">
            <wp:simplePos x="0" y="0"/>
            <wp:positionH relativeFrom="rightMargin">
              <wp:posOffset>0</wp:posOffset>
            </wp:positionH>
            <wp:positionV relativeFrom="page">
              <wp:align>top</wp:align>
            </wp:positionV>
            <wp:extent cx="7556500" cy="1115060"/>
            <wp:effectExtent l="0" t="0" r="0" b="0"/>
            <wp:wrapTopAndBottom/>
            <wp:docPr id="1" name="image1.jpg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28"/>
          <w:szCs w:val="28"/>
        </w:rPr>
        <w:t>COMPONENTES MORFOLÓGICO DA FORRAGEM DE AVEIA COM USO DE ÁCIDOS HÚMICOS E FÚLVICOS</w:t>
      </w:r>
    </w:p>
    <w:p w14:paraId="2DBE12BF" w14:textId="6419AEC6" w:rsidR="002D4599" w:rsidRPr="002D4599" w:rsidRDefault="002D4599" w:rsidP="002D4599">
      <w:pPr>
        <w:spacing w:line="276" w:lineRule="auto"/>
        <w:ind w:right="280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0AEA2E90" w14:textId="77777777" w:rsidR="002D4599" w:rsidRDefault="002D4599" w:rsidP="002D4599">
      <w:pPr>
        <w:ind w:right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Gabrielle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Pelegrini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 xml:space="preserve"> Siqueira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André Gustavo Mattos Ferreira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Bruna Vieira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Cleverson Anderson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Kettlein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Rodrigues Pedroso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Nathan Antunes de Souza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Kelen Cristina Basso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5090940" w14:textId="77777777" w:rsidR="002D4599" w:rsidRDefault="002D4599" w:rsidP="002D4599">
      <w:pPr>
        <w:pStyle w:val="LO-normal"/>
        <w:ind w:right="284"/>
        <w:jc w:val="center"/>
        <w:rPr>
          <w:rFonts w:ascii="Arial" w:eastAsia="Arial" w:hAnsi="Arial" w:cs="Arial"/>
          <w:color w:val="000000"/>
          <w:sz w:val="22"/>
          <w:szCs w:val="22"/>
          <w:u w:color="000000"/>
        </w:rPr>
      </w:pPr>
    </w:p>
    <w:p w14:paraId="2A56DA84" w14:textId="2126D233" w:rsidR="000D36B5" w:rsidRPr="002D4599" w:rsidRDefault="002D4599" w:rsidP="002D4599">
      <w:pPr>
        <w:ind w:right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Acadêmicos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Curso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Agronomia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  <w:szCs w:val="20"/>
        </w:rPr>
        <w:t>Universidade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Federal de Santa Catarina (UFSC), Campus de </w:t>
      </w:r>
      <w:proofErr w:type="spellStart"/>
      <w:r>
        <w:rPr>
          <w:rFonts w:ascii="Arial" w:eastAsia="Arial" w:hAnsi="Arial" w:cs="Arial"/>
          <w:sz w:val="20"/>
          <w:szCs w:val="20"/>
        </w:rPr>
        <w:t>Curitibanos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Professora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UFSC, Campus de </w:t>
      </w:r>
      <w:proofErr w:type="spellStart"/>
      <w:r>
        <w:rPr>
          <w:rFonts w:ascii="Arial" w:eastAsia="Arial" w:hAnsi="Arial" w:cs="Arial"/>
          <w:sz w:val="20"/>
          <w:szCs w:val="20"/>
        </w:rPr>
        <w:t>Curitibanos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E-mail: </w:t>
      </w:r>
      <w:r>
        <w:rPr>
          <w:rFonts w:ascii="Arial" w:eastAsia="Arial" w:hAnsi="Arial" w:cs="Arial"/>
          <w:sz w:val="20"/>
          <w:szCs w:val="20"/>
        </w:rPr>
        <w:t>gabrielle.siqueira@grad.ufsc.br</w:t>
      </w:r>
    </w:p>
    <w:p w14:paraId="4CC1F5F3" w14:textId="77777777" w:rsidR="000D36B5" w:rsidRDefault="000D36B5">
      <w:pPr>
        <w:ind w:right="284"/>
        <w:rPr>
          <w:rFonts w:ascii="Arial" w:eastAsia="Arial" w:hAnsi="Arial" w:cs="Arial"/>
          <w:color w:val="000000"/>
          <w:sz w:val="22"/>
          <w:szCs w:val="22"/>
        </w:rPr>
      </w:pPr>
    </w:p>
    <w:p w14:paraId="48054A23" w14:textId="1EE3896B" w:rsidR="000D36B5" w:rsidRDefault="00000000">
      <w:pPr>
        <w:jc w:val="both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Contribuição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para 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sociedade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foco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dessa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pesquisa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avaliar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características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estruturais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Testamos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húmicos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fúlvicos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alternativas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para </w:t>
      </w:r>
      <w:proofErr w:type="gramStart"/>
      <w:r>
        <w:rPr>
          <w:rFonts w:ascii="Arial" w:eastAsia="Arial" w:hAnsi="Arial" w:cs="Arial"/>
          <w:color w:val="00000A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otimização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fertilizantes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Avaliamos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folhas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colmos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material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morto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densidade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resposta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orgânicos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que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resultaram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um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aumento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significativo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folhas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desses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componentes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somados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aplicados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momento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certo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desenvolvimento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podem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contribuir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melhoria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estrutural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DF9F8E9" w14:textId="77777777" w:rsidR="000D36B5" w:rsidRDefault="000D36B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CEAE1A" w14:textId="77777777" w:rsidR="000D36B5" w:rsidRDefault="00000000">
      <w:pPr>
        <w:jc w:val="both"/>
      </w:pPr>
      <w:bookmarkStart w:id="0" w:name="_heading=h.gjdgxs"/>
      <w:bookmarkEnd w:id="0"/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color w:val="00000A"/>
          <w:sz w:val="22"/>
          <w:szCs w:val="22"/>
        </w:rPr>
        <w:t xml:space="preserve">Avena </w:t>
      </w:r>
      <w:proofErr w:type="spellStart"/>
      <w:r>
        <w:rPr>
          <w:rFonts w:ascii="Arial" w:eastAsia="Arial" w:hAnsi="Arial" w:cs="Arial"/>
          <w:i/>
          <w:color w:val="00000A"/>
          <w:sz w:val="22"/>
          <w:szCs w:val="22"/>
        </w:rPr>
        <w:t>strigosa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Fito-</w:t>
      </w:r>
      <w:proofErr w:type="spellStart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hormônios</w:t>
      </w:r>
      <w:proofErr w:type="spellEnd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 xml:space="preserve">, </w:t>
      </w:r>
      <w:proofErr w:type="spellStart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Nitrogênio</w:t>
      </w:r>
      <w:proofErr w:type="spellEnd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 xml:space="preserve">, </w:t>
      </w:r>
      <w:proofErr w:type="spellStart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Porcentagem</w:t>
      </w:r>
      <w:proofErr w:type="spellEnd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 xml:space="preserve"> de </w:t>
      </w:r>
      <w:proofErr w:type="spellStart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folha</w:t>
      </w:r>
      <w:proofErr w:type="spellEnd"/>
      <w:r w:rsidRPr="00FD2C99">
        <w:rPr>
          <w:rFonts w:ascii="Arial" w:eastAsia="Arial" w:hAnsi="Arial" w:cs="Arial"/>
          <w:i/>
          <w:color w:val="00000A"/>
          <w:sz w:val="22"/>
          <w:szCs w:val="22"/>
        </w:rPr>
        <w:t>.</w:t>
      </w:r>
    </w:p>
    <w:p w14:paraId="18FA02C6" w14:textId="77777777" w:rsidR="000D36B5" w:rsidRDefault="000D36B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492BEA" w14:textId="79042B76" w:rsidR="000D36B5" w:rsidRDefault="00000000">
      <w:pPr>
        <w:jc w:val="both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Introdução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8A14CA">
        <w:rPr>
          <w:rFonts w:ascii="Arial" w:eastAsia="Arial" w:hAnsi="Arial" w:cs="Arial"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busca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otimizar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fertilizantes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pecuária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muitos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sendo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testados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lançados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 mercado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agrícola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destinados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melhoria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aumento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produtividade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Dentre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esses,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A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chamados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"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regeneradores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solo"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surgem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categoria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incorporam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essas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novas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tecnologias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Eles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contêm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combinação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frações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minerais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húmicos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fúlvicos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desempenham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um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papel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vital no solo,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estimulando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atividade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microrganismos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favorecendo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crescimento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raízes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Além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disso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esses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auxiliam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diretamente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nutrição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facilitando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processos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liberação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nitrogênio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orgânico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nitrificação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mineralização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fosfato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solubilização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micronutrientes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essenciais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(CARON et al., 2015).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Há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também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série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compostos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podem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incorporados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às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estratégias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manejo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agrícola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aumentar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produção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forragem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promover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rápida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recuperação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após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corte. Estes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compostos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contém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fitoingredientes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aminoácidos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fito-hormônios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desempenham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um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papel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crucial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recuperação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fisiológica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metabólica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Eles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estimulam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maior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atividade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metabólica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permitindo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que 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recuperem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mais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rapidamente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situações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estresse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r w:rsidR="008A14CA">
        <w:rPr>
          <w:rFonts w:ascii="Arial" w:eastAsia="Arial" w:hAnsi="Arial" w:cs="Arial"/>
          <w:color w:val="00000A"/>
          <w:sz w:val="22"/>
          <w:szCs w:val="22"/>
        </w:rPr>
        <w:t xml:space="preserve">corte (CARON et al., 2015). </w:t>
      </w:r>
      <w:r>
        <w:rPr>
          <w:rFonts w:ascii="Arial" w:eastAsia="Arial" w:hAnsi="Arial" w:cs="Arial"/>
          <w:color w:val="00000A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acordo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com esses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novos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métodos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correta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desempenha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papel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fundamental no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manejo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pastagens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A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fertilizantes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adequados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durante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após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corte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idealmente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antes da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chuva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podem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estratégia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valiosa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otimizar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sistemas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agrícolas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utilizando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altura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ideal para entrada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corte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acordo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cultura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Se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manejadas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adequadamente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inverno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podem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beneficiar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culturas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verão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promovendo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produção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matéria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orgânica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alta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qualidade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no solo (ASSMANN e SOARES, 2016). Esse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experimento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conduzido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alunos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 Grupo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Estudos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Forragicultura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Santa Catarina (GEFSC)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parceria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empresa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privada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. Visto que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região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possui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um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grande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percentual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atividade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pecuária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utilizando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sistema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boi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estudo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contribui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significativamente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enriquecimentoa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formação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alunos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envolvidos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proporcionando-lhes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perspectivas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práticas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relevantes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sobre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as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práticas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agrícolas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 </w:t>
      </w:r>
      <w:proofErr w:type="gramStart"/>
      <w:r>
        <w:rPr>
          <w:rFonts w:ascii="Arial" w:eastAsia="Arial" w:hAnsi="Arial" w:cs="Arial"/>
          <w:color w:val="00000A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interação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entre a academia e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setor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produtivo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>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4267C82" w14:textId="77777777" w:rsidR="000D36B5" w:rsidRDefault="000D36B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837287" w14:textId="1ADDB450" w:rsidR="000D36B5" w:rsidRDefault="00000000">
      <w:pPr>
        <w:jc w:val="both"/>
      </w:pPr>
      <w:bookmarkStart w:id="1" w:name="_heading=h.qlaf8ingx4a8"/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Material 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métodos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experimento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conduzido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Fazenda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Agr</w:t>
      </w:r>
      <w:r>
        <w:rPr>
          <w:rFonts w:ascii="Arial" w:eastAsia="Arial" w:hAnsi="Arial" w:cs="Arial"/>
          <w:sz w:val="22"/>
          <w:szCs w:val="22"/>
        </w:rPr>
        <w:t>opecuária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Universidade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Santa Catarina, Campus </w:t>
      </w:r>
      <w:proofErr w:type="spellStart"/>
      <w:r>
        <w:rPr>
          <w:rFonts w:ascii="Arial" w:eastAsia="Arial" w:hAnsi="Arial" w:cs="Arial"/>
          <w:sz w:val="22"/>
          <w:szCs w:val="22"/>
        </w:rPr>
        <w:t>Curitibanos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eastAsia="Arial" w:hAnsi="Arial" w:cs="Arial"/>
          <w:sz w:val="22"/>
          <w:szCs w:val="22"/>
        </w:rPr>
        <w:t>região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possui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estações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bastante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definidas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temperaturas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médias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15ºC e 25ºC </w:t>
      </w:r>
      <w:proofErr w:type="spellStart"/>
      <w:r>
        <w:rPr>
          <w:rFonts w:ascii="Arial" w:eastAsia="Arial" w:hAnsi="Arial" w:cs="Arial"/>
          <w:sz w:val="22"/>
          <w:szCs w:val="22"/>
        </w:rPr>
        <w:t>durante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ano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com </w:t>
      </w:r>
      <w:proofErr w:type="spellStart"/>
      <w:r>
        <w:rPr>
          <w:rFonts w:ascii="Arial" w:eastAsia="Arial" w:hAnsi="Arial" w:cs="Arial"/>
          <w:sz w:val="22"/>
          <w:szCs w:val="22"/>
        </w:rPr>
        <w:t>distribuição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chuva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longo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do </w:t>
      </w:r>
      <w:proofErr w:type="spellStart"/>
      <w:r>
        <w:rPr>
          <w:rFonts w:ascii="Arial" w:eastAsia="Arial" w:hAnsi="Arial" w:cs="Arial"/>
          <w:sz w:val="22"/>
          <w:szCs w:val="22"/>
        </w:rPr>
        <w:t>ano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torno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1676 mm e </w:t>
      </w:r>
      <w:proofErr w:type="spellStart"/>
      <w:r>
        <w:rPr>
          <w:rFonts w:ascii="Arial" w:eastAsia="Arial" w:hAnsi="Arial" w:cs="Arial"/>
          <w:sz w:val="22"/>
          <w:szCs w:val="22"/>
        </w:rPr>
        <w:t>caracteriza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eastAsia="Arial" w:hAnsi="Arial" w:cs="Arial"/>
          <w:sz w:val="22"/>
          <w:szCs w:val="22"/>
        </w:rPr>
        <w:t>pelo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tipo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clima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cfb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clima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subtropical </w:t>
      </w:r>
      <w:proofErr w:type="spellStart"/>
      <w:r>
        <w:rPr>
          <w:rFonts w:ascii="Arial" w:eastAsia="Arial" w:hAnsi="Arial" w:cs="Arial"/>
          <w:sz w:val="22"/>
          <w:szCs w:val="22"/>
        </w:rPr>
        <w:t>úmido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pela </w:t>
      </w:r>
      <w:proofErr w:type="spellStart"/>
      <w:r>
        <w:rPr>
          <w:rFonts w:ascii="Arial" w:eastAsia="Arial" w:hAnsi="Arial" w:cs="Arial"/>
          <w:sz w:val="22"/>
          <w:szCs w:val="22"/>
        </w:rPr>
        <w:t>classificação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Köeppen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sz w:val="22"/>
          <w:szCs w:val="22"/>
        </w:rPr>
        <w:t>tipo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solo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região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é </w:t>
      </w:r>
      <w:proofErr w:type="spellStart"/>
      <w:r>
        <w:rPr>
          <w:rFonts w:ascii="Arial" w:eastAsia="Arial" w:hAnsi="Arial" w:cs="Arial"/>
          <w:sz w:val="22"/>
          <w:szCs w:val="22"/>
        </w:rPr>
        <w:t>classificado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Cambissolo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Háplico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textura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argilosa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sz w:val="22"/>
          <w:szCs w:val="22"/>
        </w:rPr>
        <w:t>delineamento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blocos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casualizados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(DBC), com </w:t>
      </w:r>
      <w:proofErr w:type="spellStart"/>
      <w:r>
        <w:rPr>
          <w:rFonts w:ascii="Arial" w:eastAsia="Arial" w:hAnsi="Arial" w:cs="Arial"/>
          <w:sz w:val="22"/>
          <w:szCs w:val="22"/>
        </w:rPr>
        <w:t>quatro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blocos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quatro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tratamentos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T1) </w:t>
      </w:r>
      <w:proofErr w:type="spellStart"/>
      <w:r>
        <w:rPr>
          <w:rFonts w:ascii="Arial" w:eastAsia="Arial" w:hAnsi="Arial" w:cs="Arial"/>
          <w:sz w:val="22"/>
          <w:szCs w:val="22"/>
        </w:rPr>
        <w:t>Testemunha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nenhuma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T2) </w:t>
      </w:r>
      <w:proofErr w:type="spellStart"/>
      <w:r>
        <w:rPr>
          <w:rFonts w:ascii="Arial" w:eastAsia="Arial" w:hAnsi="Arial" w:cs="Arial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50kg de N/ha no </w:t>
      </w:r>
      <w:proofErr w:type="spellStart"/>
      <w:r>
        <w:rPr>
          <w:rFonts w:ascii="Arial" w:eastAsia="Arial" w:hAnsi="Arial" w:cs="Arial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mais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50kgkg de N/ha </w:t>
      </w:r>
      <w:proofErr w:type="spellStart"/>
      <w:r>
        <w:rPr>
          <w:rFonts w:ascii="Arial" w:eastAsia="Arial" w:hAnsi="Arial" w:cs="Arial"/>
          <w:sz w:val="22"/>
          <w:szCs w:val="22"/>
        </w:rPr>
        <w:t>após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primeiro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corte; T3) Idem T2 + LA Vitha 3,0 LT/ha + KADMAN 3,0 Lt/ha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duas </w:t>
      </w:r>
      <w:proofErr w:type="spellStart"/>
      <w:r>
        <w:rPr>
          <w:rFonts w:ascii="Arial" w:eastAsia="Arial" w:hAnsi="Arial" w:cs="Arial"/>
          <w:sz w:val="22"/>
          <w:szCs w:val="22"/>
        </w:rPr>
        <w:t>aplicaçõe</w:t>
      </w:r>
      <w:r w:rsidR="008A14CA">
        <w:rPr>
          <w:rFonts w:ascii="Arial" w:eastAsia="Arial" w:hAnsi="Arial" w:cs="Arial"/>
          <w:sz w:val="22"/>
          <w:szCs w:val="22"/>
        </w:rPr>
        <w:t>s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; logo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após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cada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corte.</w:t>
      </w:r>
      <w:r>
        <w:rPr>
          <w:rFonts w:ascii="Arial" w:eastAsia="Arial" w:hAnsi="Arial" w:cs="Arial"/>
          <w:sz w:val="22"/>
          <w:szCs w:val="22"/>
        </w:rPr>
        <w:t xml:space="preserve"> T4) LA VITHA 3,0 Lt/ha + KADMAN 3,0 Lt/ha + 50 de N/ha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(60 DAE). A </w:t>
      </w:r>
      <w:proofErr w:type="spellStart"/>
      <w:r>
        <w:rPr>
          <w:rFonts w:ascii="Arial" w:eastAsia="Arial" w:hAnsi="Arial" w:cs="Arial"/>
          <w:sz w:val="22"/>
          <w:szCs w:val="22"/>
        </w:rPr>
        <w:t>forragem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8A14CA">
        <w:rPr>
          <w:rFonts w:ascii="Arial" w:eastAsia="Arial" w:hAnsi="Arial" w:cs="Arial"/>
          <w:i/>
          <w:iCs/>
          <w:sz w:val="22"/>
          <w:szCs w:val="22"/>
        </w:rPr>
        <w:t>Avena</w:t>
      </w:r>
      <w:r w:rsidR="008A14CA" w:rsidRPr="008A14C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 w:rsidR="008A14CA">
        <w:rPr>
          <w:rFonts w:ascii="Arial" w:eastAsia="Arial" w:hAnsi="Arial" w:cs="Arial"/>
          <w:i/>
          <w:iCs/>
          <w:sz w:val="22"/>
          <w:szCs w:val="22"/>
        </w:rPr>
        <w:t>strigosa</w:t>
      </w:r>
      <w:proofErr w:type="spellEnd"/>
      <w:r>
        <w:rPr>
          <w:rFonts w:ascii="Arial" w:eastAsia="Arial" w:hAnsi="Arial" w:cs="Arial"/>
          <w:sz w:val="22"/>
          <w:szCs w:val="22"/>
        </w:rPr>
        <w:t>),</w:t>
      </w:r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semeada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início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junho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sobre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palhada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milho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com taxa de </w:t>
      </w:r>
      <w:proofErr w:type="spellStart"/>
      <w:r>
        <w:rPr>
          <w:rFonts w:ascii="Arial" w:eastAsia="Arial" w:hAnsi="Arial" w:cs="Arial"/>
          <w:sz w:val="22"/>
          <w:szCs w:val="22"/>
        </w:rPr>
        <w:t>semeadura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80 kg/ha.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aplicados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aspersão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3,0 L/ha </w:t>
      </w:r>
      <w:proofErr w:type="spellStart"/>
      <w:r>
        <w:rPr>
          <w:rFonts w:ascii="Arial" w:eastAsia="Arial" w:hAnsi="Arial" w:cs="Arial"/>
          <w:sz w:val="22"/>
          <w:szCs w:val="22"/>
        </w:rPr>
        <w:t>misturados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água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e </w:t>
      </w:r>
      <w:proofErr w:type="spellStart"/>
      <w:r>
        <w:rPr>
          <w:rFonts w:ascii="Arial" w:eastAsia="Arial" w:hAnsi="Arial" w:cs="Arial"/>
          <w:sz w:val="22"/>
          <w:szCs w:val="22"/>
        </w:rPr>
        <w:t>aplicados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um volume de, </w:t>
      </w:r>
      <w:proofErr w:type="spellStart"/>
      <w:r>
        <w:rPr>
          <w:rFonts w:ascii="Arial" w:eastAsia="Arial" w:hAnsi="Arial" w:cs="Arial"/>
          <w:sz w:val="22"/>
          <w:szCs w:val="22"/>
        </w:rPr>
        <w:t>aproximadamente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150 </w:t>
      </w:r>
      <w:proofErr w:type="spellStart"/>
      <w:r>
        <w:rPr>
          <w:rFonts w:ascii="Arial" w:eastAsia="Arial" w:hAnsi="Arial" w:cs="Arial"/>
          <w:sz w:val="22"/>
          <w:szCs w:val="22"/>
        </w:rPr>
        <w:t>litros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/ha no </w:t>
      </w:r>
      <w:proofErr w:type="spellStart"/>
      <w:r>
        <w:rPr>
          <w:rFonts w:ascii="Arial" w:eastAsia="Arial" w:hAnsi="Arial" w:cs="Arial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aplicados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100kg de N/ha,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forma de </w:t>
      </w:r>
      <w:proofErr w:type="spellStart"/>
      <w:r>
        <w:rPr>
          <w:rFonts w:ascii="Arial" w:eastAsia="Arial" w:hAnsi="Arial" w:cs="Arial"/>
          <w:sz w:val="22"/>
          <w:szCs w:val="22"/>
        </w:rPr>
        <w:t>ureia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divididos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duas </w:t>
      </w:r>
      <w:proofErr w:type="spellStart"/>
      <w:r>
        <w:rPr>
          <w:rFonts w:ascii="Arial" w:eastAsia="Arial" w:hAnsi="Arial" w:cs="Arial"/>
          <w:sz w:val="22"/>
          <w:szCs w:val="22"/>
        </w:rPr>
        <w:t>aplicações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a </w:t>
      </w:r>
      <w:proofErr w:type="spellStart"/>
      <w:r>
        <w:rPr>
          <w:rFonts w:ascii="Arial" w:eastAsia="Arial" w:hAnsi="Arial" w:cs="Arial"/>
          <w:sz w:val="22"/>
          <w:szCs w:val="22"/>
        </w:rPr>
        <w:t>primeira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realizada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início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a </w:t>
      </w:r>
      <w:proofErr w:type="spellStart"/>
      <w:r>
        <w:rPr>
          <w:rFonts w:ascii="Arial" w:eastAsia="Arial" w:hAnsi="Arial" w:cs="Arial"/>
          <w:sz w:val="22"/>
          <w:szCs w:val="22"/>
        </w:rPr>
        <w:t>seguinte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após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primeira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avaliação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Para o </w:t>
      </w:r>
      <w:proofErr w:type="spellStart"/>
      <w:r>
        <w:rPr>
          <w:rFonts w:ascii="Arial" w:eastAsia="Arial" w:hAnsi="Arial" w:cs="Arial"/>
          <w:sz w:val="22"/>
          <w:szCs w:val="22"/>
        </w:rPr>
        <w:t>manejo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 cortes,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metodologia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simulando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lotação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rotacionada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realizando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cortes </w:t>
      </w:r>
      <w:proofErr w:type="spellStart"/>
      <w:r>
        <w:rPr>
          <w:rFonts w:ascii="Arial" w:eastAsia="Arial" w:hAnsi="Arial" w:cs="Arial"/>
          <w:sz w:val="22"/>
          <w:szCs w:val="22"/>
        </w:rPr>
        <w:t>quando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eastAsia="Arial" w:hAnsi="Arial" w:cs="Arial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atingiram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altura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30cm </w:t>
      </w:r>
      <w:proofErr w:type="spellStart"/>
      <w:r>
        <w:rPr>
          <w:rFonts w:ascii="Arial" w:eastAsia="Arial" w:hAnsi="Arial" w:cs="Arial"/>
          <w:sz w:val="22"/>
          <w:szCs w:val="22"/>
        </w:rPr>
        <w:t>rebaixados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15cm do solo, </w:t>
      </w:r>
      <w:proofErr w:type="spellStart"/>
      <w:r>
        <w:rPr>
          <w:rFonts w:ascii="Arial" w:eastAsia="Arial" w:hAnsi="Arial" w:cs="Arial"/>
          <w:sz w:val="22"/>
          <w:szCs w:val="22"/>
        </w:rPr>
        <w:t>representando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estrato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pastejável.Após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as coletas </w:t>
      </w:r>
      <w:proofErr w:type="spellStart"/>
      <w:r>
        <w:rPr>
          <w:rFonts w:ascii="Arial" w:eastAsia="Arial" w:hAnsi="Arial" w:cs="Arial"/>
          <w:sz w:val="22"/>
          <w:szCs w:val="22"/>
        </w:rPr>
        <w:t>realizou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-se o </w:t>
      </w:r>
      <w:proofErr w:type="spellStart"/>
      <w:r>
        <w:rPr>
          <w:rFonts w:ascii="Arial" w:eastAsia="Arial" w:hAnsi="Arial" w:cs="Arial"/>
          <w:sz w:val="22"/>
          <w:szCs w:val="22"/>
        </w:rPr>
        <w:t>rebaixamento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eastAsia="Arial" w:hAnsi="Arial" w:cs="Arial"/>
          <w:sz w:val="22"/>
          <w:szCs w:val="22"/>
        </w:rPr>
        <w:t>parcelas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metade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altura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entrada </w:t>
      </w:r>
      <w:proofErr w:type="spellStart"/>
      <w:r>
        <w:rPr>
          <w:rFonts w:ascii="Arial" w:eastAsia="Arial" w:hAnsi="Arial" w:cs="Arial"/>
          <w:sz w:val="22"/>
          <w:szCs w:val="22"/>
        </w:rPr>
        <w:t>estipulada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eastAsia="Arial" w:hAnsi="Arial" w:cs="Arial"/>
          <w:sz w:val="22"/>
          <w:szCs w:val="22"/>
        </w:rPr>
        <w:t>medida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altura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dossel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estimada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Arial" w:hAnsi="Arial" w:cs="Arial"/>
          <w:sz w:val="22"/>
          <w:szCs w:val="22"/>
        </w:rPr>
        <w:t>pontos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auxílio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régua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graduada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realizada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contagem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dentro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área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delimitada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moldura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metálica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retangular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0,125 m², antes de </w:t>
      </w:r>
      <w:proofErr w:type="spellStart"/>
      <w:r>
        <w:rPr>
          <w:rFonts w:ascii="Arial" w:eastAsia="Arial" w:hAnsi="Arial" w:cs="Arial"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corte.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cortes de </w:t>
      </w:r>
      <w:proofErr w:type="spellStart"/>
      <w:r>
        <w:rPr>
          <w:rFonts w:ascii="Arial" w:eastAsia="Arial" w:hAnsi="Arial" w:cs="Arial"/>
          <w:sz w:val="22"/>
          <w:szCs w:val="22"/>
        </w:rPr>
        <w:t>forragem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realizados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o </w:t>
      </w:r>
      <w:proofErr w:type="spellStart"/>
      <w:r>
        <w:rPr>
          <w:rFonts w:ascii="Arial" w:eastAsia="Arial" w:hAnsi="Arial" w:cs="Arial"/>
          <w:sz w:val="22"/>
          <w:szCs w:val="22"/>
        </w:rPr>
        <w:t>auxílio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quadros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metálicos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0,25m². As </w:t>
      </w:r>
      <w:proofErr w:type="spellStart"/>
      <w:r>
        <w:rPr>
          <w:rFonts w:ascii="Arial" w:eastAsia="Arial" w:hAnsi="Arial" w:cs="Arial"/>
          <w:sz w:val="22"/>
          <w:szCs w:val="22"/>
        </w:rPr>
        <w:t>amostras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acomodadas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plásticos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pesadas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balança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eletrônica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no </w:t>
      </w:r>
      <w:proofErr w:type="spellStart"/>
      <w:r>
        <w:rPr>
          <w:rFonts w:ascii="Arial" w:eastAsia="Arial" w:hAnsi="Arial" w:cs="Arial"/>
          <w:sz w:val="22"/>
          <w:szCs w:val="22"/>
        </w:rPr>
        <w:t>laboratório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Fazenda Experimental </w:t>
      </w:r>
      <w:proofErr w:type="spellStart"/>
      <w:r>
        <w:rPr>
          <w:rFonts w:ascii="Arial" w:eastAsia="Arial" w:hAnsi="Arial" w:cs="Arial"/>
          <w:sz w:val="22"/>
          <w:szCs w:val="22"/>
        </w:rPr>
        <w:t>Agropecuária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UFSC, as </w:t>
      </w:r>
      <w:proofErr w:type="spellStart"/>
      <w:r>
        <w:rPr>
          <w:rFonts w:ascii="Arial" w:eastAsia="Arial" w:hAnsi="Arial" w:cs="Arial"/>
          <w:sz w:val="22"/>
          <w:szCs w:val="22"/>
        </w:rPr>
        <w:t>amostras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totais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separadas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duas </w:t>
      </w:r>
      <w:proofErr w:type="spellStart"/>
      <w:r>
        <w:rPr>
          <w:rFonts w:ascii="Arial" w:eastAsia="Arial" w:hAnsi="Arial" w:cs="Arial"/>
          <w:sz w:val="22"/>
          <w:szCs w:val="22"/>
        </w:rPr>
        <w:t>subamostras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Destas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subamostra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pesada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colocada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estufa, para a </w:t>
      </w:r>
      <w:proofErr w:type="spellStart"/>
      <w:r>
        <w:rPr>
          <w:rFonts w:ascii="Arial" w:eastAsia="Arial" w:hAnsi="Arial" w:cs="Arial"/>
          <w:sz w:val="22"/>
          <w:szCs w:val="22"/>
        </w:rPr>
        <w:t>secagem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temperatura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65ºC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72 horas, e </w:t>
      </w:r>
      <w:proofErr w:type="spellStart"/>
      <w:r>
        <w:rPr>
          <w:rFonts w:ascii="Arial" w:eastAsia="Arial" w:hAnsi="Arial" w:cs="Arial"/>
          <w:sz w:val="22"/>
          <w:szCs w:val="22"/>
        </w:rPr>
        <w:t>novamente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pesadas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sz w:val="22"/>
          <w:szCs w:val="22"/>
        </w:rPr>
        <w:t>determinação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massa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matéria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eastAsia="Arial" w:hAnsi="Arial" w:cs="Arial"/>
          <w:sz w:val="22"/>
          <w:szCs w:val="22"/>
        </w:rPr>
        <w:t>outra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subamostra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a </w:t>
      </w:r>
      <w:proofErr w:type="spellStart"/>
      <w:r>
        <w:rPr>
          <w:rFonts w:ascii="Arial" w:eastAsia="Arial" w:hAnsi="Arial" w:cs="Arial"/>
          <w:sz w:val="22"/>
          <w:szCs w:val="22"/>
        </w:rPr>
        <w:t>separação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morfológica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determinação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folha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colmo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material </w:t>
      </w:r>
      <w:proofErr w:type="spellStart"/>
      <w:r>
        <w:rPr>
          <w:rFonts w:ascii="Arial" w:eastAsia="Arial" w:hAnsi="Arial" w:cs="Arial"/>
          <w:sz w:val="22"/>
          <w:szCs w:val="22"/>
        </w:rPr>
        <w:t>morto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dados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submetidos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análise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variância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(ANOVA). Quando </w:t>
      </w:r>
      <w:proofErr w:type="spellStart"/>
      <w:r>
        <w:rPr>
          <w:rFonts w:ascii="Arial" w:eastAsia="Arial" w:hAnsi="Arial" w:cs="Arial"/>
          <w:sz w:val="22"/>
          <w:szCs w:val="22"/>
        </w:rPr>
        <w:t>encontrada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diferença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significativa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tratamentos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as </w:t>
      </w:r>
      <w:proofErr w:type="spellStart"/>
      <w:r>
        <w:rPr>
          <w:rFonts w:ascii="Arial" w:eastAsia="Arial" w:hAnsi="Arial" w:cs="Arial"/>
          <w:sz w:val="22"/>
          <w:szCs w:val="22"/>
        </w:rPr>
        <w:t>médias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classificadas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teste Scott-Knott com </w:t>
      </w:r>
      <w:proofErr w:type="spellStart"/>
      <w:r>
        <w:rPr>
          <w:rFonts w:ascii="Arial" w:eastAsia="Arial" w:hAnsi="Arial" w:cs="Arial"/>
          <w:sz w:val="22"/>
          <w:szCs w:val="22"/>
        </w:rPr>
        <w:t>significância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5%, </w:t>
      </w:r>
      <w:proofErr w:type="spellStart"/>
      <w:r>
        <w:rPr>
          <w:rFonts w:ascii="Arial" w:eastAsia="Arial" w:hAnsi="Arial" w:cs="Arial"/>
          <w:sz w:val="22"/>
          <w:szCs w:val="22"/>
        </w:rPr>
        <w:t>usando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software SISVAR.</w:t>
      </w:r>
    </w:p>
    <w:p w14:paraId="64CD5CB6" w14:textId="77777777" w:rsidR="000D36B5" w:rsidRDefault="00000000">
      <w:pPr>
        <w:jc w:val="both"/>
        <w:rPr>
          <w:rFonts w:ascii="Cambria" w:eastAsia="Cambria" w:hAnsi="Cambria" w:cs="Cambria"/>
          <w:color w:val="00000A"/>
        </w:rPr>
      </w:pPr>
      <w:r>
        <w:rPr>
          <w:rFonts w:ascii="Cambria" w:eastAsia="Cambria" w:hAnsi="Cambria" w:cs="Cambria"/>
          <w:noProof/>
          <w:color w:val="00000A"/>
        </w:rPr>
        <w:drawing>
          <wp:anchor distT="152400" distB="152400" distL="152400" distR="152400" simplePos="0" relativeHeight="3" behindDoc="0" locked="0" layoutInCell="0" allowOverlap="1" wp14:anchorId="79E60950" wp14:editId="09004C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/>
            <wp:docPr id="2" name="Image1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AB0BF" w14:textId="2C04D161" w:rsidR="000D36B5" w:rsidRDefault="00000000">
      <w:pPr>
        <w:jc w:val="both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Resultados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Houve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diferença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significativa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variáveis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analisadas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eastAsia="Arial" w:hAnsi="Arial" w:cs="Arial"/>
          <w:sz w:val="22"/>
          <w:szCs w:val="22"/>
        </w:rPr>
        <w:t>densidade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receberam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semelhante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pastos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dos </w:t>
      </w:r>
      <w:proofErr w:type="spellStart"/>
      <w:r>
        <w:rPr>
          <w:rFonts w:ascii="Arial" w:eastAsia="Arial" w:hAnsi="Arial" w:cs="Arial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orgânicos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Tabela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1). </w:t>
      </w:r>
    </w:p>
    <w:p w14:paraId="590B682D" w14:textId="77777777" w:rsidR="000D36B5" w:rsidRDefault="000D36B5">
      <w:pPr>
        <w:rPr>
          <w:rFonts w:ascii="Arial" w:eastAsia="Arial" w:hAnsi="Arial" w:cs="Arial"/>
          <w:sz w:val="22"/>
          <w:szCs w:val="22"/>
        </w:rPr>
      </w:pPr>
    </w:p>
    <w:p w14:paraId="25A8698E" w14:textId="77777777" w:rsidR="000D36B5" w:rsidRDefault="00000000">
      <w:pPr>
        <w:jc w:val="both"/>
      </w:pPr>
      <w:proofErr w:type="spellStart"/>
      <w:r>
        <w:rPr>
          <w:rFonts w:ascii="Arial" w:eastAsia="Arial" w:hAnsi="Arial" w:cs="Arial"/>
          <w:b/>
          <w:sz w:val="22"/>
          <w:szCs w:val="22"/>
        </w:rPr>
        <w:t>Tabela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Densidade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(perf/m²),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folhas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(%F),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colmos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(%C) e taxa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acúmulo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(TA, kg de MS/ha/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)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estrato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superior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pastos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adubados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nitrogênio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acídos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orgânicos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8955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23"/>
        <w:gridCol w:w="1531"/>
        <w:gridCol w:w="1500"/>
        <w:gridCol w:w="1500"/>
        <w:gridCol w:w="1501"/>
        <w:gridCol w:w="1500"/>
      </w:tblGrid>
      <w:tr w:rsidR="000D36B5" w14:paraId="416FC5E2" w14:textId="77777777"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E632F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Tratamentos</w:t>
            </w:r>
            <w:proofErr w:type="spellEnd"/>
          </w:p>
        </w:tc>
        <w:tc>
          <w:tcPr>
            <w:tcW w:w="753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23D36E5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Variáveis</w:t>
            </w:r>
            <w:proofErr w:type="spellEnd"/>
          </w:p>
        </w:tc>
      </w:tr>
      <w:tr w:rsidR="000D36B5" w14:paraId="15C06F72" w14:textId="77777777">
        <w:tc>
          <w:tcPr>
            <w:tcW w:w="14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074F02" w14:textId="77777777" w:rsidR="000D36B5" w:rsidRDefault="000D36B5"/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 w14:paraId="4B6EECBF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Perf/m²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97D4050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%F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519309A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%C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 w14:paraId="426A616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%MM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626B37D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</w:t>
            </w:r>
          </w:p>
        </w:tc>
      </w:tr>
      <w:tr w:rsidR="000D36B5" w14:paraId="1C56CEA4" w14:textId="77777777">
        <w:tc>
          <w:tcPr>
            <w:tcW w:w="1423" w:type="dxa"/>
            <w:tcBorders>
              <w:top w:val="single" w:sz="4" w:space="0" w:color="000000"/>
            </w:tcBorders>
          </w:tcPr>
          <w:p w14:paraId="12802243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T1*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58AF208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540 b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517EEF98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83,32 a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0DBA884B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16,7 b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480B5234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755D6E21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51,6 a</w:t>
            </w:r>
          </w:p>
        </w:tc>
      </w:tr>
      <w:tr w:rsidR="000D36B5" w14:paraId="6A8081F4" w14:textId="77777777">
        <w:tc>
          <w:tcPr>
            <w:tcW w:w="1423" w:type="dxa"/>
          </w:tcPr>
          <w:p w14:paraId="49423DB9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T2</w:t>
            </w:r>
          </w:p>
        </w:tc>
        <w:tc>
          <w:tcPr>
            <w:tcW w:w="1531" w:type="dxa"/>
          </w:tcPr>
          <w:p w14:paraId="0D46BB60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743 a</w:t>
            </w:r>
          </w:p>
        </w:tc>
        <w:tc>
          <w:tcPr>
            <w:tcW w:w="1500" w:type="dxa"/>
          </w:tcPr>
          <w:p w14:paraId="6D8F0B31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81,35 a</w:t>
            </w:r>
          </w:p>
        </w:tc>
        <w:tc>
          <w:tcPr>
            <w:tcW w:w="1500" w:type="dxa"/>
          </w:tcPr>
          <w:p w14:paraId="23AD5548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18,6 b</w:t>
            </w:r>
          </w:p>
        </w:tc>
        <w:tc>
          <w:tcPr>
            <w:tcW w:w="1501" w:type="dxa"/>
          </w:tcPr>
          <w:p w14:paraId="4BAD760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500" w:type="dxa"/>
          </w:tcPr>
          <w:p w14:paraId="5895162C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51,7 a</w:t>
            </w:r>
          </w:p>
        </w:tc>
      </w:tr>
      <w:tr w:rsidR="000D36B5" w14:paraId="509357FF" w14:textId="77777777">
        <w:tc>
          <w:tcPr>
            <w:tcW w:w="1423" w:type="dxa"/>
          </w:tcPr>
          <w:p w14:paraId="5F066407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T3</w:t>
            </w:r>
          </w:p>
        </w:tc>
        <w:tc>
          <w:tcPr>
            <w:tcW w:w="1531" w:type="dxa"/>
          </w:tcPr>
          <w:p w14:paraId="13383A16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680 ab</w:t>
            </w:r>
          </w:p>
        </w:tc>
        <w:tc>
          <w:tcPr>
            <w:tcW w:w="1500" w:type="dxa"/>
          </w:tcPr>
          <w:p w14:paraId="6F1913CA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84,00 a</w:t>
            </w:r>
          </w:p>
        </w:tc>
        <w:tc>
          <w:tcPr>
            <w:tcW w:w="1500" w:type="dxa"/>
          </w:tcPr>
          <w:p w14:paraId="3019164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15,92 b</w:t>
            </w:r>
          </w:p>
        </w:tc>
        <w:tc>
          <w:tcPr>
            <w:tcW w:w="1501" w:type="dxa"/>
          </w:tcPr>
          <w:p w14:paraId="4D77AEC7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500" w:type="dxa"/>
          </w:tcPr>
          <w:p w14:paraId="0378E91B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53,7 a</w:t>
            </w:r>
          </w:p>
        </w:tc>
      </w:tr>
      <w:tr w:rsidR="000D36B5" w14:paraId="3174E6BF" w14:textId="77777777">
        <w:tc>
          <w:tcPr>
            <w:tcW w:w="1423" w:type="dxa"/>
            <w:tcBorders>
              <w:bottom w:val="single" w:sz="4" w:space="0" w:color="000000"/>
            </w:tcBorders>
          </w:tcPr>
          <w:p w14:paraId="3FA3AB67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T4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04F35920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592 ab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06AED7C7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74,42 b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7C9894C7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25,6 a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14:paraId="04908BEF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8550A3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46,1 b</w:t>
            </w:r>
          </w:p>
        </w:tc>
      </w:tr>
      <w:tr w:rsidR="000D36B5" w14:paraId="2CFF3908" w14:textId="77777777"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14:paraId="6CC50B45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CV%**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 w14:paraId="5E4E46C2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11,12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BFD6181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6,45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2929AAF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27,13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 w14:paraId="0D44F921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A161A64" w14:textId="77777777" w:rsidR="000D36B5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18,45</w:t>
            </w:r>
          </w:p>
        </w:tc>
      </w:tr>
    </w:tbl>
    <w:p w14:paraId="563BC56A" w14:textId="77777777" w:rsidR="000D36B5" w:rsidRDefault="00000000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Médias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seguidas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mesma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letra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minúscula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coluna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diferem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entre </w:t>
      </w:r>
      <w:proofErr w:type="spellStart"/>
      <w:r>
        <w:rPr>
          <w:rFonts w:ascii="Arial" w:eastAsia="Arial" w:hAnsi="Arial" w:cs="Arial"/>
          <w:sz w:val="20"/>
          <w:szCs w:val="20"/>
        </w:rPr>
        <w:t>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acordo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 o teste de Tukey a 5%. * T1) </w:t>
      </w:r>
      <w:proofErr w:type="spellStart"/>
      <w:r>
        <w:rPr>
          <w:rFonts w:ascii="Arial" w:eastAsia="Arial" w:hAnsi="Arial" w:cs="Arial"/>
          <w:sz w:val="20"/>
          <w:szCs w:val="20"/>
        </w:rPr>
        <w:t>Testemunha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nenhuma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T2) </w:t>
      </w:r>
      <w:proofErr w:type="spellStart"/>
      <w:r>
        <w:rPr>
          <w:rFonts w:ascii="Arial" w:eastAsia="Arial" w:hAnsi="Arial" w:cs="Arial"/>
          <w:sz w:val="20"/>
          <w:szCs w:val="20"/>
        </w:rPr>
        <w:t>Aplicação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50kg de N/ha no </w:t>
      </w:r>
      <w:proofErr w:type="spellStart"/>
      <w:r>
        <w:rPr>
          <w:rFonts w:ascii="Arial" w:eastAsia="Arial" w:hAnsi="Arial" w:cs="Arial"/>
          <w:sz w:val="20"/>
          <w:szCs w:val="20"/>
        </w:rPr>
        <w:t>perfilhamento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sz w:val="20"/>
          <w:szCs w:val="20"/>
        </w:rPr>
        <w:t>após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primeiro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corte; T3) T2 + LA Vitha 3,0 LT/ha + KADMAN 3,0 Lt/ha </w:t>
      </w:r>
      <w:proofErr w:type="spellStart"/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duas </w:t>
      </w:r>
      <w:proofErr w:type="spellStart"/>
      <w:r>
        <w:rPr>
          <w:rFonts w:ascii="Arial" w:eastAsia="Arial" w:hAnsi="Arial" w:cs="Arial"/>
          <w:sz w:val="20"/>
          <w:szCs w:val="20"/>
        </w:rPr>
        <w:t>aplicações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T4) LA VITHA 3,0 Lt/ha + KADMAN 3,0 Lt/ha + 50 de N/ha </w:t>
      </w:r>
      <w:proofErr w:type="spellStart"/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(60 DAE).**</w:t>
      </w:r>
      <w:proofErr w:type="spellStart"/>
      <w:r>
        <w:rPr>
          <w:rFonts w:ascii="Arial" w:eastAsia="Arial" w:hAnsi="Arial" w:cs="Arial"/>
          <w:sz w:val="20"/>
          <w:szCs w:val="20"/>
        </w:rPr>
        <w:t>Coeficiente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variação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4E1167B9" w14:textId="7C087AE4" w:rsidR="000D36B5" w:rsidRDefault="00000000">
      <w:pPr>
        <w:widowControl w:val="0"/>
        <w:spacing w:before="240" w:after="240"/>
        <w:jc w:val="both"/>
      </w:pPr>
      <w:r>
        <w:rPr>
          <w:rFonts w:ascii="Arial" w:eastAsia="Arial" w:hAnsi="Arial" w:cs="Arial"/>
          <w:sz w:val="22"/>
          <w:szCs w:val="22"/>
        </w:rPr>
        <w:t xml:space="preserve">Com </w:t>
      </w:r>
      <w:proofErr w:type="spellStart"/>
      <w:r>
        <w:rPr>
          <w:rFonts w:ascii="Arial" w:eastAsia="Arial" w:hAnsi="Arial" w:cs="Arial"/>
          <w:sz w:val="22"/>
          <w:szCs w:val="22"/>
        </w:rPr>
        <w:t>relação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folhas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observado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menor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valor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receberam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orgânicos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estágio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avançado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desenvolvimento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o que </w:t>
      </w:r>
      <w:proofErr w:type="spellStart"/>
      <w:r>
        <w:rPr>
          <w:rFonts w:ascii="Arial" w:eastAsia="Arial" w:hAnsi="Arial" w:cs="Arial"/>
          <w:sz w:val="22"/>
          <w:szCs w:val="22"/>
        </w:rPr>
        <w:t>pode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indicar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a </w:t>
      </w:r>
      <w:proofErr w:type="spellStart"/>
      <w:r>
        <w:rPr>
          <w:rFonts w:ascii="Arial" w:eastAsia="Arial" w:hAnsi="Arial" w:cs="Arial"/>
          <w:sz w:val="22"/>
          <w:szCs w:val="22"/>
        </w:rPr>
        <w:t>pulverização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devem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sz w:val="22"/>
          <w:szCs w:val="22"/>
        </w:rPr>
        <w:t>realizadas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sz w:val="22"/>
          <w:szCs w:val="22"/>
        </w:rPr>
        <w:t>mesmo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comportamento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observado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colmos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porém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maior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valor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observado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tratamento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tardio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 </w:t>
      </w:r>
      <w:proofErr w:type="gramStart"/>
      <w:r>
        <w:rPr>
          <w:rFonts w:ascii="Arial" w:eastAsia="Arial" w:hAnsi="Arial" w:cs="Arial"/>
          <w:sz w:val="22"/>
          <w:szCs w:val="22"/>
        </w:rPr>
        <w:t>taxa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acúmulo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parcelas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pulverização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tardia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(60 DAE)</w:t>
      </w:r>
      <w:r w:rsidR="008A14CA">
        <w:rPr>
          <w:rFonts w:ascii="Arial" w:eastAsia="Arial" w:hAnsi="Arial" w:cs="Arial"/>
          <w:sz w:val="22"/>
          <w:szCs w:val="22"/>
        </w:rPr>
        <w:t xml:space="preserve">, mas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não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diferiu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significativamente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dos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demais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14CA">
        <w:rPr>
          <w:rFonts w:ascii="Arial" w:eastAsia="Arial" w:hAnsi="Arial" w:cs="Arial"/>
          <w:sz w:val="22"/>
          <w:szCs w:val="22"/>
        </w:rPr>
        <w:t>tratamentos</w:t>
      </w:r>
      <w:proofErr w:type="spellEnd"/>
      <w:r w:rsidR="008A14C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observada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quantidade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significativa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material </w:t>
      </w:r>
      <w:proofErr w:type="spellStart"/>
      <w:r>
        <w:rPr>
          <w:rFonts w:ascii="Arial" w:eastAsia="Arial" w:hAnsi="Arial" w:cs="Arial"/>
          <w:sz w:val="22"/>
          <w:szCs w:val="22"/>
        </w:rPr>
        <w:t>morto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estrato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superior (</w:t>
      </w:r>
      <w:proofErr w:type="spellStart"/>
      <w:r>
        <w:rPr>
          <w:rFonts w:ascii="Arial" w:eastAsia="Arial" w:hAnsi="Arial" w:cs="Arial"/>
          <w:sz w:val="22"/>
          <w:szCs w:val="22"/>
        </w:rPr>
        <w:t>tabela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1). </w:t>
      </w:r>
      <w:proofErr w:type="spellStart"/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resultados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indicam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manejo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fertilizantes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específicos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um </w:t>
      </w:r>
      <w:proofErr w:type="spellStart"/>
      <w:r>
        <w:rPr>
          <w:rFonts w:ascii="Arial" w:eastAsia="Arial" w:hAnsi="Arial" w:cs="Arial"/>
          <w:sz w:val="22"/>
          <w:szCs w:val="22"/>
        </w:rPr>
        <w:t>impacto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significativo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porcentagem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folhas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colmos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densidade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perfilhos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cultura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desde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realizados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período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correto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De </w:t>
      </w:r>
      <w:proofErr w:type="spellStart"/>
      <w:r>
        <w:rPr>
          <w:rFonts w:ascii="Arial" w:eastAsia="Arial" w:hAnsi="Arial" w:cs="Arial"/>
          <w:sz w:val="22"/>
          <w:szCs w:val="22"/>
        </w:rPr>
        <w:t>acordo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Santos (2019),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incorporação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húmicos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fúlvicos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presentes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Kadman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parece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contribuir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positivamente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o </w:t>
      </w:r>
      <w:proofErr w:type="spellStart"/>
      <w:r>
        <w:rPr>
          <w:rFonts w:ascii="Arial" w:eastAsia="Arial" w:hAnsi="Arial" w:cs="Arial"/>
          <w:sz w:val="22"/>
          <w:szCs w:val="22"/>
        </w:rPr>
        <w:t>desenvolvimento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foliar, </w:t>
      </w:r>
      <w:proofErr w:type="spellStart"/>
      <w:r>
        <w:rPr>
          <w:rFonts w:ascii="Arial" w:eastAsia="Arial" w:hAnsi="Arial" w:cs="Arial"/>
          <w:sz w:val="22"/>
          <w:szCs w:val="22"/>
        </w:rPr>
        <w:t>enquanto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reduz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crescimento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excessivo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colmos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É </w:t>
      </w:r>
      <w:proofErr w:type="spellStart"/>
      <w:r>
        <w:rPr>
          <w:rFonts w:ascii="Arial" w:eastAsia="Arial" w:hAnsi="Arial" w:cs="Arial"/>
          <w:sz w:val="22"/>
          <w:szCs w:val="22"/>
        </w:rPr>
        <w:t>importante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ressaltar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experimento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conduzido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semeada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sob a </w:t>
      </w:r>
      <w:proofErr w:type="spellStart"/>
      <w:r>
        <w:rPr>
          <w:rFonts w:ascii="Arial" w:eastAsia="Arial" w:hAnsi="Arial" w:cs="Arial"/>
          <w:sz w:val="22"/>
          <w:szCs w:val="22"/>
        </w:rPr>
        <w:t>palhada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milho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que </w:t>
      </w:r>
      <w:proofErr w:type="spellStart"/>
      <w:r>
        <w:rPr>
          <w:rFonts w:ascii="Arial" w:eastAsia="Arial" w:hAnsi="Arial" w:cs="Arial"/>
          <w:sz w:val="22"/>
          <w:szCs w:val="22"/>
        </w:rPr>
        <w:t>parte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sz w:val="22"/>
          <w:szCs w:val="22"/>
        </w:rPr>
        <w:t>resultados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obtidos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sz w:val="22"/>
          <w:szCs w:val="22"/>
        </w:rPr>
        <w:t>devido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alta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quantidade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palhada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Mais </w:t>
      </w:r>
      <w:proofErr w:type="spellStart"/>
      <w:r>
        <w:rPr>
          <w:rFonts w:ascii="Arial" w:eastAsia="Arial" w:hAnsi="Arial" w:cs="Arial"/>
          <w:sz w:val="22"/>
          <w:szCs w:val="22"/>
        </w:rPr>
        <w:t>experimentos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devem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sz w:val="22"/>
          <w:szCs w:val="22"/>
        </w:rPr>
        <w:t>conduzidos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sz w:val="22"/>
          <w:szCs w:val="22"/>
        </w:rPr>
        <w:t>melhorar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escolha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adequada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fertilizantes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produtos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sz w:val="22"/>
          <w:szCs w:val="22"/>
        </w:rPr>
        <w:t>cultivo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com </w:t>
      </w:r>
      <w:proofErr w:type="spellStart"/>
      <w:r>
        <w:rPr>
          <w:rFonts w:ascii="Arial" w:eastAsia="Arial" w:hAnsi="Arial" w:cs="Arial"/>
          <w:sz w:val="22"/>
          <w:szCs w:val="22"/>
        </w:rPr>
        <w:t>potencial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sz w:val="22"/>
          <w:szCs w:val="22"/>
        </w:rPr>
        <w:t>otimizar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produção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minimizar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impactos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ambientais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</w:t>
      </w:r>
    </w:p>
    <w:p w14:paraId="0CC4F37C" w14:textId="27CBA0AB" w:rsidR="000D36B5" w:rsidRDefault="00000000">
      <w:pPr>
        <w:jc w:val="both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Conclusão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noProof/>
        </w:rPr>
        <w:drawing>
          <wp:anchor distT="152400" distB="152400" distL="152400" distR="152400" simplePos="0" relativeHeight="2" behindDoc="0" locked="0" layoutInCell="0" allowOverlap="1" wp14:anchorId="6B7F0B10" wp14:editId="03D85F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/>
            <wp:docPr id="3" name="Image2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A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ácidos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orgânicos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associados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r w:rsidR="008A14CA">
        <w:rPr>
          <w:rFonts w:ascii="Arial" w:eastAsia="Arial" w:hAnsi="Arial" w:cs="Arial"/>
          <w:color w:val="00000A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adubação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nitrogenada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deve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ser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realizada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época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perfilhamento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e/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após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primeiro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corte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pastejo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gerando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resultados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semelhantes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nitrogênio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no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pastos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aveia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preta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sob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palhada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milho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>.</w:t>
      </w:r>
    </w:p>
    <w:p w14:paraId="7ABD9643" w14:textId="77777777" w:rsidR="000D36B5" w:rsidRDefault="000D36B5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3A8DB6" w14:textId="77777777" w:rsidR="000D36B5" w:rsidRDefault="00000000"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Agradecimento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Universidade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Federal de Santa Catarina (Grupo GEFSC), e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empresa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Life </w:t>
      </w:r>
      <w:proofErr w:type="spellStart"/>
      <w:r>
        <w:rPr>
          <w:rFonts w:ascii="Arial" w:eastAsia="Arial" w:hAnsi="Arial" w:cs="Arial"/>
          <w:sz w:val="22"/>
          <w:szCs w:val="22"/>
        </w:rPr>
        <w:t>Agro</w:t>
      </w:r>
      <w:proofErr w:type="spellEnd"/>
    </w:p>
    <w:p w14:paraId="1F5B653F" w14:textId="77777777" w:rsidR="000D36B5" w:rsidRDefault="000D36B5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47EB78" w14:textId="77777777" w:rsidR="000D36B5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Referências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</w:p>
    <w:p w14:paraId="32211C4F" w14:textId="77777777" w:rsidR="000D36B5" w:rsidRDefault="000D36B5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47C1A4" w14:textId="77777777" w:rsidR="000D36B5" w:rsidRDefault="00000000">
      <w:pPr>
        <w:jc w:val="both"/>
      </w:pPr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ASSMANN, T. S.; SOARES, A. B.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Migrando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adubação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culturas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para </w:t>
      </w:r>
      <w:proofErr w:type="gramStart"/>
      <w:r>
        <w:rPr>
          <w:rFonts w:ascii="Arial" w:eastAsia="Arial" w:hAnsi="Arial" w:cs="Arial"/>
          <w:sz w:val="22"/>
          <w:szCs w:val="22"/>
          <w:shd w:val="clear" w:color="auto" w:fill="FFFFFF"/>
        </w:rPr>
        <w:t>a</w:t>
      </w:r>
      <w:proofErr w:type="gram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adubação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sistemas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por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meio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Integração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Lavoura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Pecuária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>. 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Informativo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integrar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>, 2016</w:t>
      </w:r>
      <w:r>
        <w:rPr>
          <w:rFonts w:ascii="Arial" w:eastAsia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4ADC7A3B" w14:textId="77777777" w:rsidR="000D36B5" w:rsidRDefault="000D36B5">
      <w:pPr>
        <w:jc w:val="both"/>
        <w:rPr>
          <w:rFonts w:ascii="Arial" w:eastAsia="Arial" w:hAnsi="Arial" w:cs="Arial"/>
          <w:sz w:val="22"/>
          <w:szCs w:val="22"/>
        </w:rPr>
      </w:pPr>
    </w:p>
    <w:p w14:paraId="074A187B" w14:textId="77777777" w:rsidR="000D36B5" w:rsidRDefault="00000000">
      <w:pPr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CARON, V.C.; GRAÇAS, J. P.; CASTRO, P.R. de C.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Condicionadores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do solo: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ácidos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húmicos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fúlvicos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>. Piracicaba: ESALQ/USP, 2015.</w:t>
      </w:r>
    </w:p>
    <w:p w14:paraId="4099E181" w14:textId="77777777" w:rsidR="000D36B5" w:rsidRDefault="000D36B5">
      <w:pPr>
        <w:jc w:val="both"/>
        <w:rPr>
          <w:rFonts w:ascii="Arial" w:eastAsia="Arial" w:hAnsi="Arial" w:cs="Arial"/>
          <w:sz w:val="22"/>
          <w:szCs w:val="22"/>
        </w:rPr>
      </w:pPr>
    </w:p>
    <w:p w14:paraId="6A6CDBE4" w14:textId="77777777" w:rsidR="000D36B5" w:rsidRDefault="00000000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SANTOS, M.G.P.; CLAUDINO, T.M.; PIZANI, G.A.; FIGUEIRA, M.D.; CONTIN, R.F. </w:t>
      </w:r>
      <w:proofErr w:type="spellStart"/>
      <w:r>
        <w:rPr>
          <w:rFonts w:ascii="Arial" w:eastAsia="Arial" w:hAnsi="Arial" w:cs="Arial"/>
          <w:sz w:val="22"/>
          <w:szCs w:val="22"/>
        </w:rPr>
        <w:t>Influência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aplicação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ácido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húmico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características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químicas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solo </w:t>
      </w:r>
      <w:proofErr w:type="spellStart"/>
      <w:r>
        <w:rPr>
          <w:rFonts w:ascii="Arial" w:eastAsia="Arial" w:hAnsi="Arial" w:cs="Arial"/>
          <w:sz w:val="22"/>
          <w:szCs w:val="22"/>
        </w:rPr>
        <w:t>cultivado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Arial" w:hAnsi="Arial" w:cs="Arial"/>
          <w:sz w:val="22"/>
          <w:szCs w:val="22"/>
        </w:rPr>
        <w:t>pastagem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Disponível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>: &lt;</w:t>
      </w:r>
      <w:r>
        <w:rPr>
          <w:rFonts w:ascii="Arial" w:eastAsia="Arial" w:hAnsi="Arial" w:cs="Arial"/>
          <w:sz w:val="22"/>
          <w:szCs w:val="22"/>
          <w:u w:val="single"/>
        </w:rPr>
        <w:t>https://cic.unifio.edu.br/anaisCIC/anais2019/pdf/02.03.pdf</w:t>
      </w:r>
      <w:r>
        <w:rPr>
          <w:rFonts w:ascii="Arial" w:eastAsia="Arial" w:hAnsi="Arial" w:cs="Arial"/>
          <w:sz w:val="22"/>
          <w:szCs w:val="22"/>
        </w:rPr>
        <w:t>&gt;</w:t>
      </w:r>
      <w:r>
        <w:rPr>
          <w:rFonts w:ascii="Arial" w:eastAsia="Arial" w:hAnsi="Arial" w:cs="Arial"/>
          <w:sz w:val="22"/>
          <w:szCs w:val="22"/>
        </w:rPr>
        <w:br/>
      </w:r>
      <w:proofErr w:type="spellStart"/>
      <w:r>
        <w:rPr>
          <w:rFonts w:ascii="Arial" w:eastAsia="Arial" w:hAnsi="Arial" w:cs="Arial"/>
          <w:sz w:val="22"/>
          <w:szCs w:val="22"/>
        </w:rPr>
        <w:t>Acesso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 set 2023.</w:t>
      </w:r>
    </w:p>
    <w:p w14:paraId="6D3CA559" w14:textId="77777777" w:rsidR="000D36B5" w:rsidRDefault="000D36B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A03A46" w14:textId="77777777" w:rsidR="000D36B5" w:rsidRDefault="000D36B5">
      <w:pPr>
        <w:ind w:right="284"/>
        <w:jc w:val="both"/>
      </w:pPr>
    </w:p>
    <w:sectPr w:rsidR="000D36B5">
      <w:headerReference w:type="default" r:id="rId8"/>
      <w:footerReference w:type="default" r:id="rId9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2D9" w14:textId="77777777" w:rsidR="009B70A0" w:rsidRDefault="009B70A0">
      <w:r>
        <w:separator/>
      </w:r>
    </w:p>
  </w:endnote>
  <w:endnote w:type="continuationSeparator" w:id="0">
    <w:p w14:paraId="56021F99" w14:textId="77777777" w:rsidR="009B70A0" w:rsidRDefault="009B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CED" w14:textId="77777777" w:rsidR="000D36B5" w:rsidRDefault="000D36B5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1C15" w14:textId="77777777" w:rsidR="009B70A0" w:rsidRDefault="009B70A0">
      <w:r>
        <w:separator/>
      </w:r>
    </w:p>
  </w:footnote>
  <w:footnote w:type="continuationSeparator" w:id="0">
    <w:p w14:paraId="2B32566D" w14:textId="77777777" w:rsidR="009B70A0" w:rsidRDefault="009B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73EA" w14:textId="77777777" w:rsidR="000D36B5" w:rsidRDefault="000D36B5">
    <w:pPr>
      <w:rPr>
        <w:rFonts w:ascii="Cambria" w:eastAsia="Cambria" w:hAnsi="Cambria" w:cs="Cambria"/>
        <w:color w:val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B5"/>
    <w:rsid w:val="000D36B5"/>
    <w:rsid w:val="002D4599"/>
    <w:rsid w:val="00382616"/>
    <w:rsid w:val="008A14CA"/>
    <w:rsid w:val="009B70A0"/>
    <w:rsid w:val="00A15064"/>
    <w:rsid w:val="00A71371"/>
    <w:rsid w:val="00F0221D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EC71"/>
  <w15:docId w15:val="{019C5644-F2A3-4409-90D1-7425B73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rFonts w:ascii="Times New Roman" w:eastAsia="Arial Unicode MS" w:hAnsi="Times New Roman" w:cs="Times New Roman"/>
      <w:lang w:eastAsia="en-US" w:bidi="ar-SA"/>
    </w:rPr>
  </w:style>
  <w:style w:type="paragraph" w:styleId="Ttulo1">
    <w:name w:val="heading 1"/>
    <w:basedOn w:val="LO-normal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1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1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lang w:val="en-US" w:eastAsia="en-US"/>
    </w:rPr>
  </w:style>
  <w:style w:type="character" w:customStyle="1" w:styleId="AssuntodocomentrioChar">
    <w:name w:val="Assunto do comentário Char"/>
    <w:basedOn w:val="TextodecomentrioChar"/>
    <w:qFormat/>
    <w:rPr>
      <w:b/>
      <w:bCs/>
      <w:lang w:val="en-US" w:eastAsia="en-US"/>
    </w:rPr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Numeraodelinhas">
    <w:name w:val="Numeração de linhas"/>
  </w:style>
  <w:style w:type="paragraph" w:styleId="Ttulo">
    <w:name w:val="Title"/>
    <w:basedOn w:val="LO-normal1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1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LO-normal">
    <w:name w:val="LO-normal"/>
    <w:qFormat/>
    <w:rPr>
      <w:rFonts w:ascii="Cambria" w:eastAsia="Arial Unicode MS" w:hAnsi="Cambria" w:cs="Arial Unicode MS"/>
      <w:color w:val="00000A"/>
      <w:lang w:eastAsia="pt-BR" w:bidi="ar-SA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lang w:val="pt-BR" w:eastAsia="pt-BR" w:bidi="ar-SA"/>
    </w:rPr>
  </w:style>
  <w:style w:type="paragraph" w:styleId="Textodecomentrio">
    <w:name w:val="annotation text"/>
    <w:basedOn w:val="LO-normal1"/>
    <w:qFormat/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Textodebalo">
    <w:name w:val="Balloon Text"/>
    <w:basedOn w:val="LO-normal1"/>
    <w:qFormat/>
    <w:rPr>
      <w:rFonts w:ascii="Segoe UI" w:hAnsi="Segoe UI" w:cs="Segoe UI"/>
      <w:sz w:val="18"/>
      <w:szCs w:val="18"/>
    </w:rPr>
  </w:style>
  <w:style w:type="paragraph" w:styleId="Reviso">
    <w:name w:val="Revision"/>
    <w:qFormat/>
    <w:rPr>
      <w:rFonts w:ascii="Times New Roman" w:eastAsia="Arial Unicode MS" w:hAnsi="Times New Roman" w:cs="Times New Roman"/>
      <w:lang w:eastAsia="en-US" w:bidi="ar-SA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Subttulo">
    <w:name w:val="Subtitle"/>
    <w:basedOn w:val="LO-normal1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dc:description/>
  <cp:lastModifiedBy>mar</cp:lastModifiedBy>
  <cp:revision>2</cp:revision>
  <dcterms:created xsi:type="dcterms:W3CDTF">2023-10-23T09:09:00Z</dcterms:created>
  <dcterms:modified xsi:type="dcterms:W3CDTF">2023-10-23T09:09:00Z</dcterms:modified>
  <dc:language>pt-BR</dc:language>
</cp:coreProperties>
</file>